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048F" w:rsidRPr="00831EBF" w:rsidRDefault="0005048F" w:rsidP="0005048F">
      <w:pPr>
        <w:spacing w:after="0" w:line="240" w:lineRule="auto"/>
        <w:ind w:left="900" w:right="600"/>
        <w:jc w:val="center"/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  <w:r w:rsidRPr="00831EBF"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  <w:t xml:space="preserve">КОМПЛЕКСНАЯ ОЦЕНКА РЕЗУЛЬТАТИВНОСТИ И ЭФФЕКТИВНОСТИ </w:t>
      </w:r>
      <w:r w:rsidR="008511E3"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  <w:t>МУНИЦИПАЛЬНЫХ</w:t>
      </w:r>
      <w:r w:rsidR="00654E5D"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  <w:t>, ГОРОДСКИХ, ВЕДОМСТВЕННЫХ, АДРЕСНЫХ ЦЕЛЕВЫХ ПРОГРАММ</w:t>
      </w:r>
      <w:r w:rsidR="008511E3"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  <w:t xml:space="preserve"> </w:t>
      </w:r>
      <w:r w:rsidRPr="00831EBF"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  <w:t>В 201</w:t>
      </w:r>
      <w:r w:rsidR="00BC132F"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  <w:t>5</w:t>
      </w:r>
      <w:r w:rsidRPr="00831EBF"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  <w:t xml:space="preserve"> ГОДУ</w:t>
      </w:r>
    </w:p>
    <w:p w:rsidR="0005048F" w:rsidRPr="00831EBF" w:rsidRDefault="0005048F" w:rsidP="0005048F">
      <w:pPr>
        <w:spacing w:after="0" w:line="240" w:lineRule="auto"/>
        <w:ind w:left="900" w:right="600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05048F" w:rsidRPr="00831EBF" w:rsidRDefault="0005048F" w:rsidP="00E32D19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>В 201</w:t>
      </w:r>
      <w:r w:rsidR="00BC132F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 xml:space="preserve"> году</w:t>
      </w:r>
      <w:r w:rsidR="00CE0C16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производилась</w:t>
      </w: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 xml:space="preserve"> работа по разработке</w:t>
      </w:r>
      <w:r w:rsidR="00656BF0" w:rsidRPr="00831EBF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 xml:space="preserve"> реализации </w:t>
      </w:r>
      <w:r w:rsidR="00656BF0" w:rsidRPr="00831EBF">
        <w:rPr>
          <w:rFonts w:ascii="Times New Roman" w:eastAsia="Times New Roman" w:hAnsi="Times New Roman"/>
          <w:sz w:val="24"/>
          <w:szCs w:val="24"/>
          <w:lang w:eastAsia="ru-RU"/>
        </w:rPr>
        <w:t>и оценке</w:t>
      </w:r>
      <w:r w:rsidR="00654E5D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муниципальных, </w:t>
      </w: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>городских</w:t>
      </w:r>
      <w:r w:rsidR="00654E5D">
        <w:rPr>
          <w:rFonts w:ascii="Times New Roman" w:eastAsia="Times New Roman" w:hAnsi="Times New Roman"/>
          <w:sz w:val="24"/>
          <w:szCs w:val="24"/>
          <w:lang w:eastAsia="ru-RU"/>
        </w:rPr>
        <w:t>, ведомственных, городских адресных</w:t>
      </w: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 xml:space="preserve"> целевых программ</w:t>
      </w:r>
      <w:r w:rsidR="00654E5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D5300" w:rsidRPr="00831EBF">
        <w:rPr>
          <w:rFonts w:ascii="Times New Roman" w:eastAsia="Times New Roman" w:hAnsi="Times New Roman"/>
          <w:sz w:val="24"/>
          <w:szCs w:val="24"/>
          <w:lang w:eastAsia="ru-RU"/>
        </w:rPr>
        <w:t>Осуществлялась</w:t>
      </w:r>
      <w:r w:rsidR="00656BF0" w:rsidRPr="00831EBF">
        <w:rPr>
          <w:rFonts w:ascii="Times New Roman" w:eastAsia="Times New Roman" w:hAnsi="Times New Roman"/>
          <w:sz w:val="24"/>
          <w:szCs w:val="24"/>
          <w:lang w:eastAsia="ru-RU"/>
        </w:rPr>
        <w:t xml:space="preserve"> реализация программ, принятых как 201</w:t>
      </w:r>
      <w:r w:rsidR="00BC132F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656BF0" w:rsidRPr="00831EBF">
        <w:rPr>
          <w:rFonts w:ascii="Times New Roman" w:eastAsia="Times New Roman" w:hAnsi="Times New Roman"/>
          <w:sz w:val="24"/>
          <w:szCs w:val="24"/>
          <w:lang w:eastAsia="ru-RU"/>
        </w:rPr>
        <w:t xml:space="preserve"> году, так и ранее утвержденных. Все программы принимались Постановлениями Администрации г. Переславля-Залесского.</w:t>
      </w:r>
    </w:p>
    <w:p w:rsidR="009D5300" w:rsidRPr="00831EBF" w:rsidRDefault="009D5300" w:rsidP="009D5300">
      <w:pPr>
        <w:spacing w:after="0" w:line="240" w:lineRule="auto"/>
        <w:ind w:right="60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>В течение 201</w:t>
      </w:r>
      <w:r w:rsidR="00BC132F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 вносились изменения в городские целевые, долгосрочные и ведомственные программы. Основными причинами внесения изменений были:</w:t>
      </w:r>
    </w:p>
    <w:p w:rsidR="009D5300" w:rsidRPr="00831EBF" w:rsidRDefault="009D5300" w:rsidP="009D5300">
      <w:pPr>
        <w:spacing w:after="0" w:line="240" w:lineRule="auto"/>
        <w:ind w:right="60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>- изменение объемов финансирования;</w:t>
      </w:r>
    </w:p>
    <w:p w:rsidR="009D5300" w:rsidRPr="00831EBF" w:rsidRDefault="009D5300" w:rsidP="009D5300">
      <w:pPr>
        <w:spacing w:after="0" w:line="240" w:lineRule="auto"/>
        <w:ind w:right="60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>- корректировка мероприятий или механизма реализации программы;</w:t>
      </w:r>
    </w:p>
    <w:p w:rsidR="009D5300" w:rsidRPr="00831EBF" w:rsidRDefault="009D5300" w:rsidP="009D5300">
      <w:pPr>
        <w:spacing w:after="0" w:line="240" w:lineRule="auto"/>
        <w:ind w:left="900" w:right="600" w:hanging="19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>- изменение требований к программам.</w:t>
      </w:r>
    </w:p>
    <w:p w:rsidR="009D5300" w:rsidRPr="00BD19AC" w:rsidRDefault="009D5300" w:rsidP="0005048F">
      <w:pPr>
        <w:spacing w:after="0" w:line="240" w:lineRule="auto"/>
        <w:ind w:right="600" w:firstLine="709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4C22CB" w:rsidRDefault="00CE0C16" w:rsidP="0004003D">
      <w:pPr>
        <w:jc w:val="center"/>
      </w:pPr>
      <w:r>
        <w:rPr>
          <w:noProof/>
          <w:lang w:eastAsia="ru-RU"/>
        </w:rPr>
        <w:drawing>
          <wp:inline distT="0" distB="0" distL="0" distR="0">
            <wp:extent cx="5173980" cy="3432810"/>
            <wp:effectExtent l="19050" t="0" r="2667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p w:rsidR="003D5217" w:rsidRDefault="00831EBF" w:rsidP="00E32D19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 xml:space="preserve">В течение года осуществлялась реализация </w:t>
      </w:r>
      <w:r w:rsidR="003D5217">
        <w:rPr>
          <w:rFonts w:ascii="Times New Roman" w:eastAsia="Times New Roman" w:hAnsi="Times New Roman"/>
          <w:sz w:val="24"/>
          <w:szCs w:val="24"/>
          <w:lang w:eastAsia="ru-RU"/>
        </w:rPr>
        <w:t>12 муниципальных</w:t>
      </w: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</w:t>
      </w:r>
      <w:r w:rsidR="003D5217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</w:p>
    <w:p w:rsidR="003D5217" w:rsidRDefault="003D5217" w:rsidP="00E32D19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r w:rsidR="00965691">
        <w:rPr>
          <w:rFonts w:ascii="Times New Roman" w:eastAsia="Times New Roman" w:hAnsi="Times New Roman"/>
          <w:sz w:val="24"/>
          <w:szCs w:val="24"/>
          <w:lang w:eastAsia="ru-RU"/>
        </w:rPr>
        <w:t>их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числе:</w:t>
      </w:r>
    </w:p>
    <w:p w:rsidR="003D5217" w:rsidRDefault="003D5217" w:rsidP="00E32D19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965691">
        <w:rPr>
          <w:rFonts w:ascii="Times New Roman" w:eastAsia="Times New Roman" w:hAnsi="Times New Roman"/>
          <w:sz w:val="24"/>
          <w:szCs w:val="24"/>
          <w:lang w:eastAsia="ru-RU"/>
        </w:rPr>
        <w:t>21 городская программа;</w:t>
      </w:r>
    </w:p>
    <w:p w:rsidR="00965691" w:rsidRDefault="00965691" w:rsidP="00E32D19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- 4 ведомственных программы;</w:t>
      </w:r>
    </w:p>
    <w:p w:rsidR="00965691" w:rsidRDefault="00965691" w:rsidP="00E32D19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- 2 городские адресные программы.</w:t>
      </w:r>
    </w:p>
    <w:p w:rsidR="00831EBF" w:rsidRDefault="00965691" w:rsidP="00E32D19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831EBF" w:rsidRPr="00831EBF">
        <w:rPr>
          <w:rFonts w:ascii="Times New Roman" w:eastAsia="Times New Roman" w:hAnsi="Times New Roman"/>
          <w:sz w:val="24"/>
          <w:szCs w:val="24"/>
          <w:lang w:eastAsia="ru-RU"/>
        </w:rPr>
        <w:t>лановы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й</w:t>
      </w:r>
      <w:r w:rsidR="00831EBF" w:rsidRPr="00831EBF">
        <w:rPr>
          <w:rFonts w:ascii="Times New Roman" w:eastAsia="Times New Roman" w:hAnsi="Times New Roman"/>
          <w:sz w:val="24"/>
          <w:szCs w:val="24"/>
          <w:lang w:eastAsia="ru-RU"/>
        </w:rPr>
        <w:t xml:space="preserve"> объем финансирования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всех программ</w:t>
      </w:r>
      <w:r w:rsidR="00831EBF" w:rsidRPr="00831EBF">
        <w:rPr>
          <w:rFonts w:ascii="Times New Roman" w:eastAsia="Times New Roman" w:hAnsi="Times New Roman"/>
          <w:sz w:val="24"/>
          <w:szCs w:val="24"/>
          <w:lang w:eastAsia="ru-RU"/>
        </w:rPr>
        <w:t xml:space="preserve"> из городского бюджета </w:t>
      </w:r>
      <w:r w:rsidR="003055A4">
        <w:rPr>
          <w:rFonts w:ascii="Times New Roman" w:eastAsia="Times New Roman" w:hAnsi="Times New Roman"/>
          <w:sz w:val="24"/>
          <w:szCs w:val="24"/>
          <w:lang w:eastAsia="ru-RU"/>
        </w:rPr>
        <w:t xml:space="preserve">составил </w:t>
      </w:r>
      <w:r w:rsidR="00BC132F">
        <w:rPr>
          <w:rFonts w:ascii="Times New Roman" w:eastAsia="Times New Roman" w:hAnsi="Times New Roman"/>
          <w:sz w:val="24"/>
          <w:szCs w:val="24"/>
          <w:lang w:eastAsia="ru-RU"/>
        </w:rPr>
        <w:t>1 144 461,7</w:t>
      </w:r>
      <w:r w:rsidR="003055A4">
        <w:rPr>
          <w:rFonts w:ascii="Times New Roman" w:eastAsia="Times New Roman" w:hAnsi="Times New Roman"/>
          <w:sz w:val="24"/>
          <w:szCs w:val="24"/>
          <w:lang w:eastAsia="ru-RU"/>
        </w:rPr>
        <w:t xml:space="preserve"> тыс. рублей, фа</w:t>
      </w:r>
      <w:r w:rsidR="00831EBF" w:rsidRPr="00831EBF">
        <w:rPr>
          <w:rFonts w:ascii="Times New Roman" w:eastAsia="Times New Roman" w:hAnsi="Times New Roman"/>
          <w:sz w:val="24"/>
          <w:szCs w:val="24"/>
          <w:lang w:eastAsia="ru-RU"/>
        </w:rPr>
        <w:t>ктический объем финансирования</w:t>
      </w:r>
      <w:r w:rsidR="003055A4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="00BC132F">
        <w:rPr>
          <w:rFonts w:ascii="Times New Roman" w:eastAsia="Times New Roman" w:hAnsi="Times New Roman"/>
          <w:sz w:val="24"/>
          <w:szCs w:val="24"/>
          <w:lang w:eastAsia="ru-RU"/>
        </w:rPr>
        <w:t>1 033 302,8</w:t>
      </w:r>
      <w:r w:rsidR="001B4EC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31EBF" w:rsidRPr="00831EBF">
        <w:rPr>
          <w:rFonts w:ascii="Times New Roman" w:eastAsia="Times New Roman" w:hAnsi="Times New Roman"/>
          <w:sz w:val="24"/>
          <w:szCs w:val="24"/>
          <w:lang w:eastAsia="ru-RU"/>
        </w:rPr>
        <w:t xml:space="preserve">тыс. рублей или </w:t>
      </w:r>
      <w:r w:rsidR="003055A4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="00BC132F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3055A4">
        <w:rPr>
          <w:rFonts w:ascii="Times New Roman" w:eastAsia="Times New Roman" w:hAnsi="Times New Roman"/>
          <w:sz w:val="24"/>
          <w:szCs w:val="24"/>
          <w:lang w:eastAsia="ru-RU"/>
        </w:rPr>
        <w:t xml:space="preserve">,3% от </w:t>
      </w:r>
      <w:r w:rsidR="00831EBF" w:rsidRPr="00831EBF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плана. </w:t>
      </w:r>
      <w:r w:rsidR="00F22390">
        <w:rPr>
          <w:rFonts w:ascii="Times New Roman" w:eastAsia="Times New Roman" w:hAnsi="Times New Roman"/>
          <w:sz w:val="24"/>
          <w:szCs w:val="24"/>
          <w:lang w:eastAsia="ru-RU"/>
        </w:rPr>
        <w:t xml:space="preserve">Большую часть </w:t>
      </w:r>
      <w:r w:rsidR="00BA209F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программных расходов городского </w:t>
      </w:r>
      <w:r w:rsidR="00BA209F" w:rsidRPr="005A1C9C">
        <w:rPr>
          <w:rFonts w:ascii="Times New Roman" w:eastAsia="Times New Roman" w:hAnsi="Times New Roman"/>
          <w:sz w:val="24"/>
          <w:szCs w:val="24"/>
          <w:lang w:eastAsia="ru-RU"/>
        </w:rPr>
        <w:t>бюджета (</w:t>
      </w:r>
      <w:r w:rsidR="005A1C9C" w:rsidRPr="005A1C9C">
        <w:rPr>
          <w:rFonts w:ascii="Times New Roman" w:eastAsia="Times New Roman" w:hAnsi="Times New Roman"/>
          <w:sz w:val="24"/>
          <w:szCs w:val="24"/>
          <w:lang w:eastAsia="ru-RU"/>
        </w:rPr>
        <w:t>49,2</w:t>
      </w:r>
      <w:r w:rsidR="00BA209F" w:rsidRPr="005A1C9C">
        <w:rPr>
          <w:rFonts w:ascii="Times New Roman" w:eastAsia="Times New Roman" w:hAnsi="Times New Roman"/>
          <w:sz w:val="24"/>
          <w:szCs w:val="24"/>
          <w:lang w:eastAsia="ru-RU"/>
        </w:rPr>
        <w:t>%)</w:t>
      </w:r>
      <w:r w:rsidR="00BA209F">
        <w:rPr>
          <w:rFonts w:ascii="Times New Roman" w:eastAsia="Times New Roman" w:hAnsi="Times New Roman"/>
          <w:sz w:val="24"/>
          <w:szCs w:val="24"/>
          <w:lang w:eastAsia="ru-RU"/>
        </w:rPr>
        <w:t xml:space="preserve"> составила </w:t>
      </w:r>
      <w:r w:rsidR="0084206E">
        <w:rPr>
          <w:rFonts w:ascii="Times New Roman" w:eastAsia="Times New Roman" w:hAnsi="Times New Roman"/>
          <w:sz w:val="24"/>
          <w:szCs w:val="24"/>
          <w:lang w:eastAsia="ru-RU"/>
        </w:rPr>
        <w:t>муниципальная п</w:t>
      </w:r>
      <w:r w:rsidR="00831EBF" w:rsidRPr="00BA209F">
        <w:rPr>
          <w:rFonts w:ascii="Times New Roman" w:eastAsia="Times New Roman" w:hAnsi="Times New Roman"/>
          <w:sz w:val="24"/>
          <w:szCs w:val="24"/>
          <w:lang w:eastAsia="ru-RU"/>
        </w:rPr>
        <w:t>рограмм</w:t>
      </w:r>
      <w:r w:rsidR="00AE211F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831EBF" w:rsidRPr="00BA209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4206E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84206E" w:rsidRPr="0084206E">
        <w:rPr>
          <w:rFonts w:ascii="Times New Roman" w:eastAsia="Times New Roman" w:hAnsi="Times New Roman"/>
          <w:sz w:val="24"/>
          <w:szCs w:val="24"/>
          <w:lang w:eastAsia="ru-RU"/>
        </w:rPr>
        <w:t>Развитие образования и молодежная политика г. Переславля-Залесского</w:t>
      </w:r>
      <w:r w:rsidR="0084206E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AE211F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BA209F" w:rsidRPr="00BA209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31EBF" w:rsidRPr="00844F75">
        <w:rPr>
          <w:rFonts w:ascii="Times New Roman" w:eastAsia="Times New Roman" w:hAnsi="Times New Roman"/>
          <w:sz w:val="24"/>
          <w:szCs w:val="24"/>
          <w:lang w:eastAsia="ru-RU"/>
        </w:rPr>
        <w:t xml:space="preserve">В истекшем году доля бюджетных расходов предусмотренных на реализацию целевых программ составила </w:t>
      </w:r>
      <w:r w:rsidR="005E724A" w:rsidRPr="00844F75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="00844F75" w:rsidRPr="00844F75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5E724A" w:rsidRPr="00844F75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844F75" w:rsidRPr="00844F75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831EBF" w:rsidRPr="00844F75">
        <w:rPr>
          <w:rFonts w:ascii="Times New Roman" w:eastAsia="Times New Roman" w:hAnsi="Times New Roman"/>
          <w:sz w:val="24"/>
          <w:szCs w:val="24"/>
          <w:lang w:eastAsia="ru-RU"/>
        </w:rPr>
        <w:t xml:space="preserve">%. Увеличение в сравнении с прошлым годом на </w:t>
      </w:r>
      <w:r w:rsidR="00844F75" w:rsidRPr="00844F75">
        <w:rPr>
          <w:rFonts w:ascii="Times New Roman" w:eastAsia="Times New Roman" w:hAnsi="Times New Roman"/>
          <w:sz w:val="24"/>
          <w:szCs w:val="24"/>
          <w:lang w:eastAsia="ru-RU"/>
        </w:rPr>
        <w:t>0,5</w:t>
      </w:r>
      <w:r w:rsidR="00C07941" w:rsidRPr="00844F75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процентных пункта.</w:t>
      </w:r>
    </w:p>
    <w:p w:rsidR="00F92850" w:rsidRDefault="00F92850" w:rsidP="00831EBF">
      <w:pPr>
        <w:spacing w:after="0" w:line="240" w:lineRule="auto"/>
        <w:ind w:right="60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07941" w:rsidRPr="00C07941" w:rsidRDefault="00CE0C16" w:rsidP="00CE0C16">
      <w:pPr>
        <w:spacing w:after="0" w:line="240" w:lineRule="auto"/>
        <w:ind w:right="600"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219700" cy="3459480"/>
            <wp:effectExtent l="0" t="0" r="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C07941" w:rsidRPr="00C07941" w:rsidRDefault="00C07941" w:rsidP="00C079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07941">
        <w:rPr>
          <w:rFonts w:ascii="Times New Roman" w:hAnsi="Times New Roman"/>
          <w:sz w:val="24"/>
          <w:szCs w:val="24"/>
        </w:rPr>
        <w:t xml:space="preserve">В разрезе уровней бюджета программные мероприятия выглядят следующим образом: </w:t>
      </w:r>
    </w:p>
    <w:p w:rsidR="00C07941" w:rsidRPr="00C07941" w:rsidRDefault="00C07941" w:rsidP="00C07941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C07941">
        <w:rPr>
          <w:rFonts w:ascii="Times New Roman" w:hAnsi="Times New Roman"/>
          <w:b/>
          <w:i/>
          <w:sz w:val="24"/>
          <w:szCs w:val="24"/>
        </w:rPr>
        <w:t xml:space="preserve">- Федеральный бюджет – </w:t>
      </w:r>
      <w:r w:rsidR="00844F75">
        <w:rPr>
          <w:rFonts w:ascii="Times New Roman" w:hAnsi="Times New Roman"/>
          <w:b/>
          <w:i/>
          <w:sz w:val="24"/>
          <w:szCs w:val="24"/>
        </w:rPr>
        <w:t>4</w:t>
      </w:r>
      <w:r w:rsidR="00254EBE">
        <w:rPr>
          <w:rFonts w:ascii="Times New Roman" w:hAnsi="Times New Roman"/>
          <w:b/>
          <w:i/>
          <w:sz w:val="24"/>
          <w:szCs w:val="24"/>
        </w:rPr>
        <w:t>4</w:t>
      </w:r>
      <w:r w:rsidR="00844F75">
        <w:rPr>
          <w:rFonts w:ascii="Times New Roman" w:hAnsi="Times New Roman"/>
          <w:b/>
          <w:i/>
          <w:sz w:val="24"/>
          <w:szCs w:val="24"/>
        </w:rPr>
        <w:t>,</w:t>
      </w:r>
      <w:r w:rsidR="00254EBE">
        <w:rPr>
          <w:rFonts w:ascii="Times New Roman" w:hAnsi="Times New Roman"/>
          <w:b/>
          <w:i/>
          <w:sz w:val="24"/>
          <w:szCs w:val="24"/>
        </w:rPr>
        <w:t>9</w:t>
      </w:r>
      <w:r w:rsidRPr="00C07941">
        <w:rPr>
          <w:rFonts w:ascii="Times New Roman" w:hAnsi="Times New Roman"/>
          <w:b/>
          <w:i/>
          <w:sz w:val="24"/>
          <w:szCs w:val="24"/>
        </w:rPr>
        <w:t xml:space="preserve"> млн. руб. или </w:t>
      </w:r>
      <w:r w:rsidR="00254EBE">
        <w:rPr>
          <w:rFonts w:ascii="Times New Roman" w:hAnsi="Times New Roman"/>
          <w:b/>
          <w:i/>
          <w:sz w:val="24"/>
          <w:szCs w:val="24"/>
        </w:rPr>
        <w:t>4</w:t>
      </w:r>
      <w:r w:rsidRPr="00C07941">
        <w:rPr>
          <w:rFonts w:ascii="Times New Roman" w:hAnsi="Times New Roman"/>
          <w:b/>
          <w:i/>
          <w:sz w:val="24"/>
          <w:szCs w:val="24"/>
        </w:rPr>
        <w:t>%;</w:t>
      </w:r>
    </w:p>
    <w:p w:rsidR="00C07941" w:rsidRPr="00C07941" w:rsidRDefault="00C07941" w:rsidP="00C07941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C07941">
        <w:rPr>
          <w:rFonts w:ascii="Times New Roman" w:hAnsi="Times New Roman"/>
          <w:b/>
          <w:i/>
          <w:sz w:val="24"/>
          <w:szCs w:val="24"/>
        </w:rPr>
        <w:t xml:space="preserve">- Областной бюджет – </w:t>
      </w:r>
      <w:r w:rsidR="00254EBE">
        <w:rPr>
          <w:rFonts w:ascii="Times New Roman" w:hAnsi="Times New Roman"/>
          <w:b/>
          <w:i/>
          <w:sz w:val="24"/>
          <w:szCs w:val="24"/>
        </w:rPr>
        <w:t>522,3</w:t>
      </w:r>
      <w:r w:rsidRPr="00C07941">
        <w:rPr>
          <w:rFonts w:ascii="Times New Roman" w:hAnsi="Times New Roman"/>
          <w:b/>
          <w:i/>
          <w:sz w:val="24"/>
          <w:szCs w:val="24"/>
        </w:rPr>
        <w:t xml:space="preserve"> млн. руб. или </w:t>
      </w:r>
      <w:r w:rsidR="00AC4290">
        <w:rPr>
          <w:rFonts w:ascii="Times New Roman" w:hAnsi="Times New Roman"/>
          <w:b/>
          <w:i/>
          <w:sz w:val="24"/>
          <w:szCs w:val="24"/>
        </w:rPr>
        <w:t>5</w:t>
      </w:r>
      <w:r w:rsidR="00254EBE">
        <w:rPr>
          <w:rFonts w:ascii="Times New Roman" w:hAnsi="Times New Roman"/>
          <w:b/>
          <w:i/>
          <w:sz w:val="24"/>
          <w:szCs w:val="24"/>
        </w:rPr>
        <w:t>1</w:t>
      </w:r>
      <w:r w:rsidRPr="00C07941">
        <w:rPr>
          <w:rFonts w:ascii="Times New Roman" w:hAnsi="Times New Roman"/>
          <w:b/>
          <w:i/>
          <w:sz w:val="24"/>
          <w:szCs w:val="24"/>
        </w:rPr>
        <w:t>%;</w:t>
      </w:r>
    </w:p>
    <w:p w:rsidR="00C07941" w:rsidRPr="00C07941" w:rsidRDefault="00C07941" w:rsidP="00C07941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C07941">
        <w:rPr>
          <w:rFonts w:ascii="Times New Roman" w:hAnsi="Times New Roman"/>
          <w:b/>
          <w:i/>
          <w:sz w:val="24"/>
          <w:szCs w:val="24"/>
        </w:rPr>
        <w:t xml:space="preserve">- Городской бюджет – </w:t>
      </w:r>
      <w:r w:rsidR="00254EBE">
        <w:rPr>
          <w:rFonts w:ascii="Times New Roman" w:hAnsi="Times New Roman"/>
          <w:b/>
          <w:i/>
          <w:sz w:val="24"/>
          <w:szCs w:val="24"/>
        </w:rPr>
        <w:t>455,8</w:t>
      </w:r>
      <w:r w:rsidRPr="00C07941">
        <w:rPr>
          <w:rFonts w:ascii="Times New Roman" w:hAnsi="Times New Roman"/>
          <w:b/>
          <w:i/>
          <w:sz w:val="24"/>
          <w:szCs w:val="24"/>
        </w:rPr>
        <w:t xml:space="preserve"> млн. руб. или </w:t>
      </w:r>
      <w:r w:rsidR="00254EBE">
        <w:rPr>
          <w:rFonts w:ascii="Times New Roman" w:hAnsi="Times New Roman"/>
          <w:b/>
          <w:i/>
          <w:sz w:val="24"/>
          <w:szCs w:val="24"/>
        </w:rPr>
        <w:t>44</w:t>
      </w:r>
      <w:r w:rsidRPr="00C07941">
        <w:rPr>
          <w:rFonts w:ascii="Times New Roman" w:hAnsi="Times New Roman"/>
          <w:b/>
          <w:i/>
          <w:sz w:val="24"/>
          <w:szCs w:val="24"/>
        </w:rPr>
        <w:t>%;</w:t>
      </w:r>
    </w:p>
    <w:p w:rsidR="00C07941" w:rsidRDefault="00C07941" w:rsidP="00C07941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C07941">
        <w:rPr>
          <w:rFonts w:ascii="Times New Roman" w:hAnsi="Times New Roman"/>
          <w:b/>
          <w:i/>
          <w:sz w:val="24"/>
          <w:szCs w:val="24"/>
        </w:rPr>
        <w:t xml:space="preserve">- Средства Фонда содействия реформирования ЖКХ – </w:t>
      </w:r>
      <w:r w:rsidR="00254EBE">
        <w:rPr>
          <w:rFonts w:ascii="Times New Roman" w:hAnsi="Times New Roman"/>
          <w:b/>
          <w:i/>
          <w:sz w:val="24"/>
          <w:szCs w:val="24"/>
        </w:rPr>
        <w:t>10,3</w:t>
      </w:r>
      <w:r w:rsidRPr="00C07941">
        <w:rPr>
          <w:rFonts w:ascii="Times New Roman" w:hAnsi="Times New Roman"/>
          <w:b/>
          <w:i/>
          <w:sz w:val="24"/>
          <w:szCs w:val="24"/>
        </w:rPr>
        <w:t xml:space="preserve"> млн. руб. или </w:t>
      </w:r>
      <w:r w:rsidR="00254EBE">
        <w:rPr>
          <w:rFonts w:ascii="Times New Roman" w:hAnsi="Times New Roman"/>
          <w:b/>
          <w:i/>
          <w:sz w:val="24"/>
          <w:szCs w:val="24"/>
        </w:rPr>
        <w:t>1</w:t>
      </w:r>
      <w:r w:rsidR="00060340">
        <w:rPr>
          <w:rFonts w:ascii="Times New Roman" w:hAnsi="Times New Roman"/>
          <w:b/>
          <w:i/>
          <w:sz w:val="24"/>
          <w:szCs w:val="24"/>
        </w:rPr>
        <w:t>%.</w:t>
      </w:r>
    </w:p>
    <w:p w:rsidR="00060340" w:rsidRPr="00C07941" w:rsidRDefault="00060340" w:rsidP="00C07941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254EBE" w:rsidRPr="00254EBE" w:rsidRDefault="00C07941" w:rsidP="00254EB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7941">
        <w:rPr>
          <w:rFonts w:ascii="Times New Roman" w:hAnsi="Times New Roman"/>
          <w:sz w:val="24"/>
          <w:szCs w:val="24"/>
        </w:rPr>
        <w:tab/>
      </w:r>
      <w:r w:rsidR="00254EBE" w:rsidRPr="00254EBE">
        <w:rPr>
          <w:rFonts w:ascii="Times New Roman" w:hAnsi="Times New Roman"/>
          <w:sz w:val="24"/>
          <w:szCs w:val="24"/>
        </w:rPr>
        <w:t>В рамках программ на инвестиции было израсходовано 38 506,6 тыс. руб., в том числе:</w:t>
      </w:r>
    </w:p>
    <w:p w:rsidR="00254EBE" w:rsidRPr="00254EBE" w:rsidRDefault="00254EBE" w:rsidP="00254EB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4EBE">
        <w:rPr>
          <w:rFonts w:ascii="Times New Roman" w:hAnsi="Times New Roman"/>
          <w:sz w:val="24"/>
          <w:szCs w:val="24"/>
        </w:rPr>
        <w:t>1)</w:t>
      </w:r>
      <w:r w:rsidRPr="00254EBE">
        <w:rPr>
          <w:rFonts w:ascii="Times New Roman" w:hAnsi="Times New Roman"/>
          <w:sz w:val="24"/>
          <w:szCs w:val="24"/>
        </w:rPr>
        <w:tab/>
        <w:t>На ГАП «Переселение граждан из аварийного жилищного фонда города Переславля-Залесского с учетом необходимости развития малоэтажного жилищного строительства на 2013-2015 год» - 33 108,4 тыс. руб. (средства ФСР ЖКХ – 10 269,7 тыс. руб., средства областного бюджета – 13 727,2 тыс. руб., средства городского бюджета – 9 111,5 тыс. руб.);</w:t>
      </w:r>
    </w:p>
    <w:p w:rsidR="00254EBE" w:rsidRPr="00254EBE" w:rsidRDefault="00254EBE" w:rsidP="00254EB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4EBE">
        <w:rPr>
          <w:rFonts w:ascii="Times New Roman" w:hAnsi="Times New Roman"/>
          <w:sz w:val="24"/>
          <w:szCs w:val="24"/>
        </w:rPr>
        <w:t>2)</w:t>
      </w:r>
      <w:r w:rsidRPr="00254EBE">
        <w:rPr>
          <w:rFonts w:ascii="Times New Roman" w:hAnsi="Times New Roman"/>
          <w:sz w:val="24"/>
          <w:szCs w:val="24"/>
        </w:rPr>
        <w:tab/>
        <w:t>На программу модернизации коммунального хозяйства – 4 952,0 тыс. руб.;</w:t>
      </w:r>
    </w:p>
    <w:p w:rsidR="00945429" w:rsidRDefault="00254EBE" w:rsidP="0094542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4EBE">
        <w:rPr>
          <w:rFonts w:ascii="Times New Roman" w:hAnsi="Times New Roman"/>
          <w:sz w:val="24"/>
          <w:szCs w:val="24"/>
        </w:rPr>
        <w:t>3)</w:t>
      </w:r>
      <w:r w:rsidRPr="00254EBE">
        <w:rPr>
          <w:rFonts w:ascii="Times New Roman" w:hAnsi="Times New Roman"/>
          <w:sz w:val="24"/>
          <w:szCs w:val="24"/>
        </w:rPr>
        <w:tab/>
        <w:t>Разработка ПСД для строительства объекта «Стадион для проведения спортивных занятий» (ул. Менделеева, д.10) – 339,5 тыс. руб.;</w:t>
      </w:r>
    </w:p>
    <w:p w:rsidR="00945429" w:rsidRDefault="00254EBE" w:rsidP="0094542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4EBE">
        <w:rPr>
          <w:rFonts w:ascii="Times New Roman" w:hAnsi="Times New Roman"/>
          <w:sz w:val="24"/>
          <w:szCs w:val="24"/>
        </w:rPr>
        <w:t>4)</w:t>
      </w:r>
      <w:r w:rsidRPr="00254EBE">
        <w:rPr>
          <w:rFonts w:ascii="Times New Roman" w:hAnsi="Times New Roman"/>
          <w:sz w:val="24"/>
          <w:szCs w:val="24"/>
        </w:rPr>
        <w:tab/>
        <w:t>Разработка ПСД «Реконструкция комплекса сооружений стадиона со строительством здания универсального спорти</w:t>
      </w:r>
      <w:bookmarkStart w:id="0" w:name="_GoBack"/>
      <w:bookmarkEnd w:id="0"/>
      <w:r w:rsidRPr="00254EBE">
        <w:rPr>
          <w:rFonts w:ascii="Times New Roman" w:hAnsi="Times New Roman"/>
          <w:sz w:val="24"/>
          <w:szCs w:val="24"/>
        </w:rPr>
        <w:t>вного зала» - 106,7 тыс. руб.</w:t>
      </w:r>
    </w:p>
    <w:p w:rsidR="0004003D" w:rsidRPr="00945429" w:rsidRDefault="00254EBE" w:rsidP="0094542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54EBE">
        <w:rPr>
          <w:rFonts w:ascii="Times New Roman" w:hAnsi="Times New Roman"/>
          <w:sz w:val="24"/>
          <w:szCs w:val="24"/>
        </w:rPr>
        <w:lastRenderedPageBreak/>
        <w:t xml:space="preserve"> </w:t>
      </w:r>
      <w:r w:rsidR="00CE0C16">
        <w:rPr>
          <w:noProof/>
          <w:lang w:eastAsia="ru-RU"/>
        </w:rPr>
        <w:drawing>
          <wp:inline distT="0" distB="0" distL="0" distR="0">
            <wp:extent cx="5257800" cy="3691890"/>
            <wp:effectExtent l="0" t="0" r="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8440F7" w:rsidRDefault="00E32D19" w:rsidP="00411BE5">
      <w:pPr>
        <w:spacing w:after="0" w:line="240" w:lineRule="auto"/>
        <w:ind w:right="-1" w:firstLine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7AB0">
        <w:rPr>
          <w:rFonts w:ascii="Times New Roman" w:eastAsia="Times New Roman" w:hAnsi="Times New Roman"/>
          <w:sz w:val="24"/>
          <w:szCs w:val="24"/>
          <w:lang w:eastAsia="ru-RU"/>
        </w:rPr>
        <w:t xml:space="preserve">Наибольший удельный вес в расходах городского бюджета на финансирование программ приходится на сферы:  </w:t>
      </w:r>
    </w:p>
    <w:p w:rsidR="00E32D19" w:rsidRDefault="00E32D19" w:rsidP="008440F7">
      <w:pPr>
        <w:spacing w:after="0" w:line="240" w:lineRule="auto"/>
        <w:ind w:right="-1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7AB0">
        <w:rPr>
          <w:rFonts w:ascii="Times New Roman" w:eastAsia="Times New Roman" w:hAnsi="Times New Roman"/>
          <w:sz w:val="24"/>
          <w:szCs w:val="24"/>
          <w:lang w:eastAsia="ru-RU"/>
        </w:rPr>
        <w:t>образование и молодежная политика</w:t>
      </w:r>
      <w:r w:rsidR="008440F7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="00F57645">
        <w:rPr>
          <w:rFonts w:ascii="Times New Roman" w:eastAsia="Times New Roman" w:hAnsi="Times New Roman"/>
          <w:sz w:val="24"/>
          <w:szCs w:val="24"/>
          <w:lang w:eastAsia="ru-RU"/>
        </w:rPr>
        <w:t>53</w:t>
      </w:r>
      <w:r w:rsidR="00FF1152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B3775C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8440F7">
        <w:rPr>
          <w:rFonts w:ascii="Times New Roman" w:eastAsia="Times New Roman" w:hAnsi="Times New Roman"/>
          <w:sz w:val="24"/>
          <w:szCs w:val="24"/>
          <w:lang w:eastAsia="ru-RU"/>
        </w:rPr>
        <w:t>%</w:t>
      </w:r>
      <w:r w:rsidRPr="00D17AB0">
        <w:rPr>
          <w:rFonts w:ascii="Times New Roman" w:eastAsia="Times New Roman" w:hAnsi="Times New Roman"/>
          <w:sz w:val="24"/>
          <w:szCs w:val="24"/>
          <w:lang w:eastAsia="ru-RU"/>
        </w:rPr>
        <w:t xml:space="preserve">; </w:t>
      </w:r>
    </w:p>
    <w:p w:rsidR="007E1FB7" w:rsidRDefault="005311B7" w:rsidP="007E1FB7">
      <w:pPr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</w:t>
      </w:r>
      <w:r w:rsidR="007E1FB7">
        <w:rPr>
          <w:rFonts w:ascii="Times New Roman" w:eastAsia="Times New Roman" w:hAnsi="Times New Roman"/>
          <w:sz w:val="24"/>
          <w:szCs w:val="24"/>
          <w:lang w:eastAsia="ru-RU"/>
        </w:rPr>
        <w:t>социальн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ая</w:t>
      </w:r>
      <w:r w:rsidR="007E1FB7">
        <w:rPr>
          <w:rFonts w:ascii="Times New Roman" w:eastAsia="Times New Roman" w:hAnsi="Times New Roman"/>
          <w:sz w:val="24"/>
          <w:szCs w:val="24"/>
          <w:lang w:eastAsia="ru-RU"/>
        </w:rPr>
        <w:t xml:space="preserve"> политик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7E1FB7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="00F57645">
        <w:rPr>
          <w:rFonts w:ascii="Times New Roman" w:eastAsia="Times New Roman" w:hAnsi="Times New Roman"/>
          <w:sz w:val="24"/>
          <w:szCs w:val="24"/>
          <w:lang w:eastAsia="ru-RU"/>
        </w:rPr>
        <w:t>23</w:t>
      </w:r>
      <w:r w:rsidR="00FF1152">
        <w:rPr>
          <w:rFonts w:ascii="Times New Roman" w:eastAsia="Times New Roman" w:hAnsi="Times New Roman"/>
          <w:sz w:val="24"/>
          <w:szCs w:val="24"/>
          <w:lang w:eastAsia="ru-RU"/>
        </w:rPr>
        <w:t>,4</w:t>
      </w:r>
      <w:r w:rsidR="007E1FB7">
        <w:rPr>
          <w:rFonts w:ascii="Times New Roman" w:eastAsia="Times New Roman" w:hAnsi="Times New Roman"/>
          <w:sz w:val="24"/>
          <w:szCs w:val="24"/>
          <w:lang w:eastAsia="ru-RU"/>
        </w:rPr>
        <w:t>%;</w:t>
      </w:r>
    </w:p>
    <w:p w:rsidR="00B3775C" w:rsidRPr="00D17AB0" w:rsidRDefault="00B3775C" w:rsidP="007E1FB7">
      <w:pPr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</w:t>
      </w:r>
      <w:r w:rsidRPr="00B3775C">
        <w:rPr>
          <w:rFonts w:ascii="Times New Roman" w:eastAsia="Times New Roman" w:hAnsi="Times New Roman"/>
          <w:sz w:val="24"/>
          <w:szCs w:val="24"/>
          <w:lang w:eastAsia="ru-RU"/>
        </w:rPr>
        <w:t xml:space="preserve">общегосударственные вопросы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8,1</w:t>
      </w:r>
      <w:r w:rsidRPr="00B3775C">
        <w:rPr>
          <w:rFonts w:ascii="Times New Roman" w:eastAsia="Times New Roman" w:hAnsi="Times New Roman"/>
          <w:sz w:val="24"/>
          <w:szCs w:val="24"/>
          <w:lang w:eastAsia="ru-RU"/>
        </w:rPr>
        <w:t>%;</w:t>
      </w:r>
    </w:p>
    <w:p w:rsidR="00E32D19" w:rsidRDefault="005311B7" w:rsidP="00411BE5">
      <w:pPr>
        <w:spacing w:after="0" w:line="240" w:lineRule="auto"/>
        <w:ind w:right="-1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жилищно-коммунальное хозяйство </w:t>
      </w:r>
      <w:r w:rsidR="00E32D19" w:rsidRPr="00D17AB0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 w:rsidR="00B3775C">
        <w:rPr>
          <w:rFonts w:ascii="Times New Roman" w:eastAsia="Times New Roman" w:hAnsi="Times New Roman"/>
          <w:sz w:val="24"/>
          <w:szCs w:val="24"/>
          <w:lang w:eastAsia="ru-RU"/>
        </w:rPr>
        <w:t>6,7</w:t>
      </w:r>
      <w:r w:rsidR="00E32D19" w:rsidRPr="00D17AB0">
        <w:rPr>
          <w:rFonts w:ascii="Times New Roman" w:eastAsia="Times New Roman" w:hAnsi="Times New Roman"/>
          <w:sz w:val="24"/>
          <w:szCs w:val="24"/>
          <w:lang w:eastAsia="ru-RU"/>
        </w:rPr>
        <w:t>%</w:t>
      </w:r>
    </w:p>
    <w:p w:rsidR="005311B7" w:rsidRDefault="005311B7" w:rsidP="00411BE5">
      <w:pPr>
        <w:spacing w:after="0" w:line="240" w:lineRule="auto"/>
        <w:ind w:right="-1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национальная</w:t>
      </w:r>
      <w:r w:rsidR="00B3775C">
        <w:rPr>
          <w:rFonts w:ascii="Times New Roman" w:eastAsia="Times New Roman" w:hAnsi="Times New Roman"/>
          <w:sz w:val="24"/>
          <w:szCs w:val="24"/>
          <w:lang w:eastAsia="ru-RU"/>
        </w:rPr>
        <w:t xml:space="preserve"> экономика – 4,0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%;</w:t>
      </w:r>
    </w:p>
    <w:p w:rsidR="005311B7" w:rsidRPr="00D17AB0" w:rsidRDefault="005311B7" w:rsidP="005311B7">
      <w:pPr>
        <w:spacing w:after="0" w:line="240" w:lineRule="auto"/>
        <w:ind w:right="-1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7AB0">
        <w:rPr>
          <w:rFonts w:ascii="Times New Roman" w:eastAsia="Times New Roman" w:hAnsi="Times New Roman"/>
          <w:sz w:val="24"/>
          <w:szCs w:val="24"/>
          <w:lang w:eastAsia="ru-RU"/>
        </w:rPr>
        <w:t>физическ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ая</w:t>
      </w:r>
      <w:r w:rsidRPr="00D17AB0">
        <w:rPr>
          <w:rFonts w:ascii="Times New Roman" w:eastAsia="Times New Roman" w:hAnsi="Times New Roman"/>
          <w:sz w:val="24"/>
          <w:szCs w:val="24"/>
          <w:lang w:eastAsia="ru-RU"/>
        </w:rPr>
        <w:t xml:space="preserve"> культур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D17AB0">
        <w:rPr>
          <w:rFonts w:ascii="Times New Roman" w:eastAsia="Times New Roman" w:hAnsi="Times New Roman"/>
          <w:sz w:val="24"/>
          <w:szCs w:val="24"/>
          <w:lang w:eastAsia="ru-RU"/>
        </w:rPr>
        <w:t xml:space="preserve"> и спорт </w:t>
      </w:r>
      <w:r w:rsidR="00B3775C">
        <w:rPr>
          <w:rFonts w:ascii="Times New Roman" w:eastAsia="Times New Roman" w:hAnsi="Times New Roman"/>
          <w:sz w:val="24"/>
          <w:szCs w:val="24"/>
          <w:lang w:eastAsia="ru-RU"/>
        </w:rPr>
        <w:t>- 2,5%</w:t>
      </w:r>
      <w:r w:rsidRPr="00D17AB0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5311B7" w:rsidRPr="00D17AB0" w:rsidRDefault="005311B7" w:rsidP="00411BE5">
      <w:pPr>
        <w:spacing w:after="0" w:line="240" w:lineRule="auto"/>
        <w:ind w:right="-1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культура и кинематография – 2</w:t>
      </w:r>
      <w:r w:rsidR="00B3775C">
        <w:rPr>
          <w:rFonts w:ascii="Times New Roman" w:eastAsia="Times New Roman" w:hAnsi="Times New Roman"/>
          <w:sz w:val="24"/>
          <w:szCs w:val="24"/>
          <w:lang w:eastAsia="ru-RU"/>
        </w:rPr>
        <w:t>,0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%.</w:t>
      </w:r>
    </w:p>
    <w:p w:rsidR="00E32D19" w:rsidRPr="00D17AB0" w:rsidRDefault="00E32D19" w:rsidP="00411BE5">
      <w:pPr>
        <w:spacing w:after="0" w:line="240" w:lineRule="auto"/>
        <w:ind w:left="900" w:right="600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7AB0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E32D19" w:rsidRPr="00586FD6" w:rsidRDefault="00E32D19" w:rsidP="00411BE5">
      <w:pPr>
        <w:spacing w:after="0" w:line="240" w:lineRule="auto"/>
        <w:ind w:right="600" w:firstLine="426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6FD6"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  <w:t>III</w:t>
      </w:r>
      <w:r w:rsidRPr="00586FD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 Общая оценка результативности и эффективности программ</w:t>
      </w:r>
    </w:p>
    <w:p w:rsidR="00E32D19" w:rsidRPr="00586FD6" w:rsidRDefault="00E32D19" w:rsidP="00411BE5">
      <w:pPr>
        <w:spacing w:after="0" w:line="240" w:lineRule="auto"/>
        <w:ind w:left="900" w:right="600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32D19" w:rsidRPr="00586FD6" w:rsidRDefault="00E32D19" w:rsidP="00411BE5">
      <w:pPr>
        <w:spacing w:after="0" w:line="240" w:lineRule="auto"/>
        <w:ind w:right="-1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6FD6">
        <w:rPr>
          <w:rFonts w:ascii="Times New Roman" w:eastAsia="Times New Roman" w:hAnsi="Times New Roman"/>
          <w:sz w:val="24"/>
          <w:szCs w:val="24"/>
          <w:lang w:eastAsia="ru-RU"/>
        </w:rPr>
        <w:t>Уровень выполнения плановых значений целевых индикаторов и показателей результативности городских целевых программ в 201</w:t>
      </w:r>
      <w:r w:rsidR="0099043B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586FD6">
        <w:rPr>
          <w:rFonts w:ascii="Times New Roman" w:eastAsia="Times New Roman" w:hAnsi="Times New Roman"/>
          <w:sz w:val="24"/>
          <w:szCs w:val="24"/>
          <w:lang w:eastAsia="ru-RU"/>
        </w:rPr>
        <w:t xml:space="preserve"> году составил 9</w:t>
      </w:r>
      <w:r w:rsidR="0099043B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586FD6">
        <w:rPr>
          <w:rFonts w:ascii="Times New Roman" w:eastAsia="Times New Roman" w:hAnsi="Times New Roman"/>
          <w:sz w:val="24"/>
          <w:szCs w:val="24"/>
          <w:lang w:eastAsia="ru-RU"/>
        </w:rPr>
        <w:t>%</w:t>
      </w:r>
      <w:r w:rsidR="00586FD6">
        <w:rPr>
          <w:rFonts w:ascii="Times New Roman" w:eastAsia="Times New Roman" w:hAnsi="Times New Roman"/>
          <w:sz w:val="24"/>
          <w:szCs w:val="24"/>
          <w:lang w:eastAsia="ru-RU"/>
        </w:rPr>
        <w:t xml:space="preserve">. По </w:t>
      </w:r>
      <w:r w:rsidR="0099043B">
        <w:rPr>
          <w:rFonts w:ascii="Times New Roman" w:eastAsia="Times New Roman" w:hAnsi="Times New Roman"/>
          <w:sz w:val="24"/>
          <w:szCs w:val="24"/>
          <w:lang w:eastAsia="ru-RU"/>
        </w:rPr>
        <w:t>91</w:t>
      </w:r>
      <w:r w:rsidR="00586FD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86FD6">
        <w:rPr>
          <w:rFonts w:ascii="Times New Roman" w:eastAsia="Times New Roman" w:hAnsi="Times New Roman"/>
          <w:sz w:val="24"/>
          <w:szCs w:val="24"/>
          <w:lang w:eastAsia="ru-RU"/>
        </w:rPr>
        <w:t xml:space="preserve">из </w:t>
      </w:r>
      <w:r w:rsidR="0099043B">
        <w:rPr>
          <w:rFonts w:ascii="Times New Roman" w:eastAsia="Times New Roman" w:hAnsi="Times New Roman"/>
          <w:sz w:val="24"/>
          <w:szCs w:val="24"/>
          <w:lang w:eastAsia="ru-RU"/>
        </w:rPr>
        <w:t>125</w:t>
      </w:r>
      <w:r w:rsidRPr="00586FD6">
        <w:rPr>
          <w:rFonts w:ascii="Times New Roman" w:eastAsia="Times New Roman" w:hAnsi="Times New Roman"/>
          <w:sz w:val="24"/>
          <w:szCs w:val="24"/>
          <w:lang w:eastAsia="ru-RU"/>
        </w:rPr>
        <w:t xml:space="preserve"> целевых</w:t>
      </w:r>
      <w:r w:rsidR="00586FD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86FD6">
        <w:rPr>
          <w:rFonts w:ascii="Times New Roman" w:eastAsia="Times New Roman" w:hAnsi="Times New Roman"/>
          <w:sz w:val="24"/>
          <w:szCs w:val="24"/>
          <w:lang w:eastAsia="ru-RU"/>
        </w:rPr>
        <w:t>индикаторов, по кото</w:t>
      </w:r>
      <w:r w:rsidR="00371B4F" w:rsidRPr="00586FD6">
        <w:rPr>
          <w:rFonts w:ascii="Times New Roman" w:eastAsia="Times New Roman" w:hAnsi="Times New Roman"/>
          <w:sz w:val="24"/>
          <w:szCs w:val="24"/>
          <w:lang w:eastAsia="ru-RU"/>
        </w:rPr>
        <w:t xml:space="preserve">рым к моменту отчета </w:t>
      </w:r>
      <w:r w:rsidRPr="00586FD6">
        <w:rPr>
          <w:rFonts w:ascii="Times New Roman" w:eastAsia="Times New Roman" w:hAnsi="Times New Roman"/>
          <w:sz w:val="24"/>
          <w:szCs w:val="24"/>
          <w:lang w:eastAsia="ru-RU"/>
        </w:rPr>
        <w:t xml:space="preserve">ответственными исполнителями представлена информация, плановые значения </w:t>
      </w:r>
      <w:r w:rsidR="00586FD6">
        <w:rPr>
          <w:rFonts w:ascii="Times New Roman" w:eastAsia="Times New Roman" w:hAnsi="Times New Roman"/>
          <w:sz w:val="24"/>
          <w:szCs w:val="24"/>
          <w:lang w:eastAsia="ru-RU"/>
        </w:rPr>
        <w:t>достигнуты или</w:t>
      </w:r>
      <w:r w:rsidRPr="00586FD6">
        <w:rPr>
          <w:rFonts w:ascii="Times New Roman" w:eastAsia="Times New Roman" w:hAnsi="Times New Roman"/>
          <w:sz w:val="24"/>
          <w:szCs w:val="24"/>
          <w:lang w:eastAsia="ru-RU"/>
        </w:rPr>
        <w:t xml:space="preserve"> выполнены более чем на 100%.</w:t>
      </w:r>
    </w:p>
    <w:p w:rsidR="00E32D19" w:rsidRPr="00586FD6" w:rsidRDefault="00E32D19" w:rsidP="00411BE5">
      <w:pPr>
        <w:spacing w:after="0" w:line="240" w:lineRule="auto"/>
        <w:ind w:right="-1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6FD6">
        <w:rPr>
          <w:rFonts w:ascii="Times New Roman" w:eastAsia="Times New Roman" w:hAnsi="Times New Roman"/>
          <w:sz w:val="24"/>
          <w:szCs w:val="24"/>
          <w:lang w:eastAsia="ru-RU"/>
        </w:rPr>
        <w:t xml:space="preserve">По </w:t>
      </w:r>
      <w:r w:rsidR="00EA1B36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="00586FD6">
        <w:rPr>
          <w:rFonts w:ascii="Times New Roman" w:eastAsia="Times New Roman" w:hAnsi="Times New Roman"/>
          <w:sz w:val="24"/>
          <w:szCs w:val="24"/>
          <w:lang w:eastAsia="ru-RU"/>
        </w:rPr>
        <w:t xml:space="preserve"> показател</w:t>
      </w:r>
      <w:r w:rsidR="00EA1B36">
        <w:rPr>
          <w:rFonts w:ascii="Times New Roman" w:eastAsia="Times New Roman" w:hAnsi="Times New Roman"/>
          <w:sz w:val="24"/>
          <w:szCs w:val="24"/>
          <w:lang w:eastAsia="ru-RU"/>
        </w:rPr>
        <w:t>ям</w:t>
      </w:r>
      <w:r w:rsidR="00586FD6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586FD6">
        <w:rPr>
          <w:rFonts w:ascii="Times New Roman" w:eastAsia="Times New Roman" w:hAnsi="Times New Roman"/>
          <w:sz w:val="24"/>
          <w:szCs w:val="24"/>
          <w:lang w:eastAsia="ru-RU"/>
        </w:rPr>
        <w:t xml:space="preserve">из </w:t>
      </w:r>
      <w:r w:rsidR="00EA1B36">
        <w:rPr>
          <w:rFonts w:ascii="Times New Roman" w:eastAsia="Times New Roman" w:hAnsi="Times New Roman"/>
          <w:sz w:val="24"/>
          <w:szCs w:val="24"/>
          <w:lang w:eastAsia="ru-RU"/>
        </w:rPr>
        <w:t>125</w:t>
      </w:r>
      <w:r w:rsidRPr="00586FD6">
        <w:rPr>
          <w:rFonts w:ascii="Times New Roman" w:eastAsia="Times New Roman" w:hAnsi="Times New Roman"/>
          <w:sz w:val="24"/>
          <w:szCs w:val="24"/>
          <w:lang w:eastAsia="ru-RU"/>
        </w:rPr>
        <w:t xml:space="preserve"> степень выполнения плана определить невозможно из-за отсутствия информации. В сравнении с 201</w:t>
      </w:r>
      <w:r w:rsidR="00EA1B36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586FD6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годом количество целевых индикаторов </w:t>
      </w:r>
      <w:r w:rsidR="00EA1B36">
        <w:rPr>
          <w:rFonts w:ascii="Times New Roman" w:eastAsia="Times New Roman" w:hAnsi="Times New Roman"/>
          <w:sz w:val="24"/>
          <w:szCs w:val="24"/>
          <w:lang w:eastAsia="ru-RU"/>
        </w:rPr>
        <w:t>увеличилось</w:t>
      </w:r>
      <w:r w:rsidRPr="00586FD6">
        <w:rPr>
          <w:rFonts w:ascii="Times New Roman" w:eastAsia="Times New Roman" w:hAnsi="Times New Roman"/>
          <w:sz w:val="24"/>
          <w:szCs w:val="24"/>
          <w:lang w:eastAsia="ru-RU"/>
        </w:rPr>
        <w:t xml:space="preserve"> на </w:t>
      </w:r>
      <w:r w:rsidR="00EA1B36">
        <w:rPr>
          <w:rFonts w:ascii="Times New Roman" w:eastAsia="Times New Roman" w:hAnsi="Times New Roman"/>
          <w:sz w:val="24"/>
          <w:szCs w:val="24"/>
          <w:lang w:eastAsia="ru-RU"/>
        </w:rPr>
        <w:t>29</w:t>
      </w:r>
      <w:r w:rsidRPr="00586FD6">
        <w:rPr>
          <w:rFonts w:ascii="Times New Roman" w:eastAsia="Times New Roman" w:hAnsi="Times New Roman"/>
          <w:sz w:val="24"/>
          <w:szCs w:val="24"/>
          <w:lang w:eastAsia="ru-RU"/>
        </w:rPr>
        <w:t xml:space="preserve">, а количество не представленных </w:t>
      </w:r>
      <w:r w:rsidR="00EA1B36">
        <w:rPr>
          <w:rFonts w:ascii="Times New Roman" w:eastAsia="Times New Roman" w:hAnsi="Times New Roman"/>
          <w:sz w:val="24"/>
          <w:szCs w:val="24"/>
          <w:lang w:eastAsia="ru-RU"/>
        </w:rPr>
        <w:t>возросло с 1</w:t>
      </w:r>
      <w:r w:rsidRPr="00586FD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A1B36">
        <w:rPr>
          <w:rFonts w:ascii="Times New Roman" w:eastAsia="Times New Roman" w:hAnsi="Times New Roman"/>
          <w:sz w:val="24"/>
          <w:szCs w:val="24"/>
          <w:lang w:eastAsia="ru-RU"/>
        </w:rPr>
        <w:t>до</w:t>
      </w:r>
      <w:r w:rsidRPr="00586FD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A1B36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586FD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32D19" w:rsidRPr="00D17AB0" w:rsidRDefault="00E32D19" w:rsidP="00411BE5">
      <w:pPr>
        <w:spacing w:after="0" w:line="240" w:lineRule="auto"/>
        <w:ind w:right="-1" w:firstLine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86F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Оценка эффективности ведомственных и долгосрочных целевых программ, проведённая в соответствии с Постановлением Мэра г. Переславля-Залесского от 01.12.2008 года №1367 «Об утверждении порядка разработки, принятия и реализации целевых программ», представлена в приложении </w:t>
      </w:r>
      <w:r w:rsidR="002B35D6" w:rsidRPr="00586F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«Рейтинг целевых программ по итоговой сводной оценке баллов за 201</w:t>
      </w:r>
      <w:r w:rsidR="00EA1B3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</w:t>
      </w:r>
      <w:r w:rsidR="002B35D6" w:rsidRPr="00586F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год»</w:t>
      </w:r>
      <w:r w:rsidRPr="00586F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E32D19" w:rsidRDefault="00E32D19" w:rsidP="00E32D19"/>
    <w:sectPr w:rsidR="00E32D19" w:rsidSect="00145D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048F"/>
    <w:rsid w:val="00000282"/>
    <w:rsid w:val="00002513"/>
    <w:rsid w:val="00004141"/>
    <w:rsid w:val="00017E89"/>
    <w:rsid w:val="000306C0"/>
    <w:rsid w:val="0003725B"/>
    <w:rsid w:val="0004003D"/>
    <w:rsid w:val="0004675A"/>
    <w:rsid w:val="000470C4"/>
    <w:rsid w:val="0005048F"/>
    <w:rsid w:val="00054144"/>
    <w:rsid w:val="00060340"/>
    <w:rsid w:val="0006793E"/>
    <w:rsid w:val="000712A2"/>
    <w:rsid w:val="00083810"/>
    <w:rsid w:val="000A1C5B"/>
    <w:rsid w:val="000A31B2"/>
    <w:rsid w:val="000A63DB"/>
    <w:rsid w:val="000A72F3"/>
    <w:rsid w:val="000B6366"/>
    <w:rsid w:val="000C272F"/>
    <w:rsid w:val="000C7C71"/>
    <w:rsid w:val="000D0C0E"/>
    <w:rsid w:val="000D60E7"/>
    <w:rsid w:val="000E5FBA"/>
    <w:rsid w:val="000F5555"/>
    <w:rsid w:val="001048F4"/>
    <w:rsid w:val="00111032"/>
    <w:rsid w:val="00114F28"/>
    <w:rsid w:val="00115541"/>
    <w:rsid w:val="00121E9D"/>
    <w:rsid w:val="00125172"/>
    <w:rsid w:val="00130BCC"/>
    <w:rsid w:val="00137665"/>
    <w:rsid w:val="00141301"/>
    <w:rsid w:val="00143728"/>
    <w:rsid w:val="00145DF7"/>
    <w:rsid w:val="00147559"/>
    <w:rsid w:val="001506B1"/>
    <w:rsid w:val="00152517"/>
    <w:rsid w:val="00153273"/>
    <w:rsid w:val="00163CB1"/>
    <w:rsid w:val="001667E5"/>
    <w:rsid w:val="00166A37"/>
    <w:rsid w:val="00167C42"/>
    <w:rsid w:val="00172C20"/>
    <w:rsid w:val="00183FCE"/>
    <w:rsid w:val="00185F08"/>
    <w:rsid w:val="001920D5"/>
    <w:rsid w:val="00192B04"/>
    <w:rsid w:val="0019374B"/>
    <w:rsid w:val="00194705"/>
    <w:rsid w:val="001B24E0"/>
    <w:rsid w:val="001B26BC"/>
    <w:rsid w:val="001B4EC7"/>
    <w:rsid w:val="001B6054"/>
    <w:rsid w:val="001C1B05"/>
    <w:rsid w:val="001C3A6F"/>
    <w:rsid w:val="001C3BDE"/>
    <w:rsid w:val="001D0020"/>
    <w:rsid w:val="001E093A"/>
    <w:rsid w:val="001E12AF"/>
    <w:rsid w:val="001E6F62"/>
    <w:rsid w:val="001E70E9"/>
    <w:rsid w:val="001F757B"/>
    <w:rsid w:val="0020416B"/>
    <w:rsid w:val="002166B6"/>
    <w:rsid w:val="0021745F"/>
    <w:rsid w:val="00217A98"/>
    <w:rsid w:val="00217D6A"/>
    <w:rsid w:val="002202A2"/>
    <w:rsid w:val="002274C3"/>
    <w:rsid w:val="002378AF"/>
    <w:rsid w:val="00247CD8"/>
    <w:rsid w:val="00247F9B"/>
    <w:rsid w:val="0025084D"/>
    <w:rsid w:val="00251B7D"/>
    <w:rsid w:val="00254EBE"/>
    <w:rsid w:val="00264095"/>
    <w:rsid w:val="0026602A"/>
    <w:rsid w:val="00266734"/>
    <w:rsid w:val="002729F7"/>
    <w:rsid w:val="00286B90"/>
    <w:rsid w:val="00287A10"/>
    <w:rsid w:val="00290951"/>
    <w:rsid w:val="00292A7E"/>
    <w:rsid w:val="0029306F"/>
    <w:rsid w:val="002A1E6C"/>
    <w:rsid w:val="002B35D6"/>
    <w:rsid w:val="002B3CDA"/>
    <w:rsid w:val="002C1DDA"/>
    <w:rsid w:val="002C55BD"/>
    <w:rsid w:val="002E6724"/>
    <w:rsid w:val="002F4CFA"/>
    <w:rsid w:val="002F5FBC"/>
    <w:rsid w:val="00304B41"/>
    <w:rsid w:val="003055A4"/>
    <w:rsid w:val="0032030C"/>
    <w:rsid w:val="0032074A"/>
    <w:rsid w:val="00326823"/>
    <w:rsid w:val="0033090B"/>
    <w:rsid w:val="00331A8F"/>
    <w:rsid w:val="00331F84"/>
    <w:rsid w:val="003537E8"/>
    <w:rsid w:val="003671C2"/>
    <w:rsid w:val="00370E16"/>
    <w:rsid w:val="00371B4F"/>
    <w:rsid w:val="00373C82"/>
    <w:rsid w:val="00375232"/>
    <w:rsid w:val="0037662C"/>
    <w:rsid w:val="00390912"/>
    <w:rsid w:val="00392E4A"/>
    <w:rsid w:val="003954AD"/>
    <w:rsid w:val="003965EB"/>
    <w:rsid w:val="003A2150"/>
    <w:rsid w:val="003B0D80"/>
    <w:rsid w:val="003B5A3E"/>
    <w:rsid w:val="003B6920"/>
    <w:rsid w:val="003C7CF5"/>
    <w:rsid w:val="003D1C21"/>
    <w:rsid w:val="003D5217"/>
    <w:rsid w:val="003D729B"/>
    <w:rsid w:val="0040286E"/>
    <w:rsid w:val="00406797"/>
    <w:rsid w:val="00411BE5"/>
    <w:rsid w:val="00414C08"/>
    <w:rsid w:val="00421911"/>
    <w:rsid w:val="00421D02"/>
    <w:rsid w:val="0042376D"/>
    <w:rsid w:val="00431FB2"/>
    <w:rsid w:val="0043288D"/>
    <w:rsid w:val="004330C9"/>
    <w:rsid w:val="00441493"/>
    <w:rsid w:val="00447E9F"/>
    <w:rsid w:val="00450E00"/>
    <w:rsid w:val="00451338"/>
    <w:rsid w:val="00463065"/>
    <w:rsid w:val="004639EB"/>
    <w:rsid w:val="0046507C"/>
    <w:rsid w:val="004667B0"/>
    <w:rsid w:val="00473DF2"/>
    <w:rsid w:val="00477062"/>
    <w:rsid w:val="00487428"/>
    <w:rsid w:val="004927E2"/>
    <w:rsid w:val="00493D82"/>
    <w:rsid w:val="00495334"/>
    <w:rsid w:val="004A1BC0"/>
    <w:rsid w:val="004A4324"/>
    <w:rsid w:val="004A5A22"/>
    <w:rsid w:val="004B260C"/>
    <w:rsid w:val="004C11D2"/>
    <w:rsid w:val="004C22CB"/>
    <w:rsid w:val="004C2C78"/>
    <w:rsid w:val="004D77F5"/>
    <w:rsid w:val="004E087F"/>
    <w:rsid w:val="004E2DBE"/>
    <w:rsid w:val="004E735C"/>
    <w:rsid w:val="004F1348"/>
    <w:rsid w:val="004F337F"/>
    <w:rsid w:val="00501229"/>
    <w:rsid w:val="00503592"/>
    <w:rsid w:val="00504806"/>
    <w:rsid w:val="00511B00"/>
    <w:rsid w:val="00513CC3"/>
    <w:rsid w:val="00516F18"/>
    <w:rsid w:val="00530D22"/>
    <w:rsid w:val="005311B7"/>
    <w:rsid w:val="00546E3F"/>
    <w:rsid w:val="005473C4"/>
    <w:rsid w:val="0055500A"/>
    <w:rsid w:val="0057026C"/>
    <w:rsid w:val="00583E03"/>
    <w:rsid w:val="00585321"/>
    <w:rsid w:val="00586FD6"/>
    <w:rsid w:val="00592084"/>
    <w:rsid w:val="005955D7"/>
    <w:rsid w:val="00597D4B"/>
    <w:rsid w:val="005A17D2"/>
    <w:rsid w:val="005A1C9C"/>
    <w:rsid w:val="005B504D"/>
    <w:rsid w:val="005C14FD"/>
    <w:rsid w:val="005C224C"/>
    <w:rsid w:val="005C65C0"/>
    <w:rsid w:val="005D02E1"/>
    <w:rsid w:val="005D1656"/>
    <w:rsid w:val="005E37F8"/>
    <w:rsid w:val="005E6594"/>
    <w:rsid w:val="005E724A"/>
    <w:rsid w:val="005F0B76"/>
    <w:rsid w:val="005F32E4"/>
    <w:rsid w:val="005F3AC9"/>
    <w:rsid w:val="0061366A"/>
    <w:rsid w:val="006172CE"/>
    <w:rsid w:val="00620FD9"/>
    <w:rsid w:val="006435F8"/>
    <w:rsid w:val="00645E33"/>
    <w:rsid w:val="00654E5D"/>
    <w:rsid w:val="00656BF0"/>
    <w:rsid w:val="00664496"/>
    <w:rsid w:val="00670E5B"/>
    <w:rsid w:val="00671ED5"/>
    <w:rsid w:val="006724A3"/>
    <w:rsid w:val="006865D9"/>
    <w:rsid w:val="00694FA3"/>
    <w:rsid w:val="0069672E"/>
    <w:rsid w:val="006A2364"/>
    <w:rsid w:val="006C1685"/>
    <w:rsid w:val="006E34D9"/>
    <w:rsid w:val="006E4B72"/>
    <w:rsid w:val="006E61AA"/>
    <w:rsid w:val="006E7AD1"/>
    <w:rsid w:val="006F0190"/>
    <w:rsid w:val="006F7C05"/>
    <w:rsid w:val="00700162"/>
    <w:rsid w:val="0070558E"/>
    <w:rsid w:val="00717E3F"/>
    <w:rsid w:val="0073624B"/>
    <w:rsid w:val="00750A63"/>
    <w:rsid w:val="00753D53"/>
    <w:rsid w:val="007569C3"/>
    <w:rsid w:val="007576B9"/>
    <w:rsid w:val="0076089A"/>
    <w:rsid w:val="00761F7E"/>
    <w:rsid w:val="00770765"/>
    <w:rsid w:val="00781BC4"/>
    <w:rsid w:val="007831C6"/>
    <w:rsid w:val="007876F2"/>
    <w:rsid w:val="007931FD"/>
    <w:rsid w:val="007A6E6C"/>
    <w:rsid w:val="007A70DD"/>
    <w:rsid w:val="007A72FF"/>
    <w:rsid w:val="007A7CA9"/>
    <w:rsid w:val="007B0332"/>
    <w:rsid w:val="007B331A"/>
    <w:rsid w:val="007B3F65"/>
    <w:rsid w:val="007C06C9"/>
    <w:rsid w:val="007E1FB7"/>
    <w:rsid w:val="007E7B0A"/>
    <w:rsid w:val="00800E77"/>
    <w:rsid w:val="00804E39"/>
    <w:rsid w:val="0080739F"/>
    <w:rsid w:val="0082395A"/>
    <w:rsid w:val="00826402"/>
    <w:rsid w:val="00831EBF"/>
    <w:rsid w:val="008417A8"/>
    <w:rsid w:val="0084206E"/>
    <w:rsid w:val="008440F7"/>
    <w:rsid w:val="00844F75"/>
    <w:rsid w:val="008511E3"/>
    <w:rsid w:val="00857B32"/>
    <w:rsid w:val="00857FDC"/>
    <w:rsid w:val="00860455"/>
    <w:rsid w:val="00863D14"/>
    <w:rsid w:val="008676DD"/>
    <w:rsid w:val="00873A24"/>
    <w:rsid w:val="0088113C"/>
    <w:rsid w:val="00884120"/>
    <w:rsid w:val="00884D33"/>
    <w:rsid w:val="00886480"/>
    <w:rsid w:val="00887960"/>
    <w:rsid w:val="008A3812"/>
    <w:rsid w:val="008B5BC5"/>
    <w:rsid w:val="008B5E1A"/>
    <w:rsid w:val="008B7F08"/>
    <w:rsid w:val="008C4081"/>
    <w:rsid w:val="008D2FAD"/>
    <w:rsid w:val="008F5307"/>
    <w:rsid w:val="008F62B6"/>
    <w:rsid w:val="009067B6"/>
    <w:rsid w:val="009072B3"/>
    <w:rsid w:val="0091160A"/>
    <w:rsid w:val="0091190E"/>
    <w:rsid w:val="00934A89"/>
    <w:rsid w:val="00945429"/>
    <w:rsid w:val="00954CCC"/>
    <w:rsid w:val="0096350F"/>
    <w:rsid w:val="009642C2"/>
    <w:rsid w:val="00965691"/>
    <w:rsid w:val="009764A4"/>
    <w:rsid w:val="00984C0C"/>
    <w:rsid w:val="00986576"/>
    <w:rsid w:val="0099043B"/>
    <w:rsid w:val="00990452"/>
    <w:rsid w:val="009944D2"/>
    <w:rsid w:val="00997E6B"/>
    <w:rsid w:val="009A47F7"/>
    <w:rsid w:val="009A7E07"/>
    <w:rsid w:val="009B2063"/>
    <w:rsid w:val="009B6350"/>
    <w:rsid w:val="009D262A"/>
    <w:rsid w:val="009D3269"/>
    <w:rsid w:val="009D5300"/>
    <w:rsid w:val="009E3E11"/>
    <w:rsid w:val="009E566A"/>
    <w:rsid w:val="009E670C"/>
    <w:rsid w:val="009E6A60"/>
    <w:rsid w:val="009F6A6D"/>
    <w:rsid w:val="00A15529"/>
    <w:rsid w:val="00A27874"/>
    <w:rsid w:val="00A311DB"/>
    <w:rsid w:val="00A327C9"/>
    <w:rsid w:val="00A3712F"/>
    <w:rsid w:val="00A427EC"/>
    <w:rsid w:val="00A43122"/>
    <w:rsid w:val="00A45309"/>
    <w:rsid w:val="00A542E6"/>
    <w:rsid w:val="00A55888"/>
    <w:rsid w:val="00A57EE8"/>
    <w:rsid w:val="00A7313B"/>
    <w:rsid w:val="00A8017B"/>
    <w:rsid w:val="00A87898"/>
    <w:rsid w:val="00AA0B5A"/>
    <w:rsid w:val="00AB316F"/>
    <w:rsid w:val="00AC0AB0"/>
    <w:rsid w:val="00AC162A"/>
    <w:rsid w:val="00AC28DD"/>
    <w:rsid w:val="00AC4290"/>
    <w:rsid w:val="00AC57FA"/>
    <w:rsid w:val="00AC5C3F"/>
    <w:rsid w:val="00AE211F"/>
    <w:rsid w:val="00AE3218"/>
    <w:rsid w:val="00AE4EF8"/>
    <w:rsid w:val="00AF7DEE"/>
    <w:rsid w:val="00B06A2B"/>
    <w:rsid w:val="00B16992"/>
    <w:rsid w:val="00B3173F"/>
    <w:rsid w:val="00B32809"/>
    <w:rsid w:val="00B3775C"/>
    <w:rsid w:val="00B420BC"/>
    <w:rsid w:val="00B4438E"/>
    <w:rsid w:val="00B51075"/>
    <w:rsid w:val="00B538C5"/>
    <w:rsid w:val="00B740AF"/>
    <w:rsid w:val="00B8157F"/>
    <w:rsid w:val="00B847CC"/>
    <w:rsid w:val="00B93F1A"/>
    <w:rsid w:val="00BA209F"/>
    <w:rsid w:val="00BA2666"/>
    <w:rsid w:val="00BA560B"/>
    <w:rsid w:val="00BB3765"/>
    <w:rsid w:val="00BB41C3"/>
    <w:rsid w:val="00BC100D"/>
    <w:rsid w:val="00BC132F"/>
    <w:rsid w:val="00BC3C09"/>
    <w:rsid w:val="00BD2499"/>
    <w:rsid w:val="00BE0E01"/>
    <w:rsid w:val="00BE7BCF"/>
    <w:rsid w:val="00BF2B65"/>
    <w:rsid w:val="00BF34C3"/>
    <w:rsid w:val="00C07941"/>
    <w:rsid w:val="00C10B39"/>
    <w:rsid w:val="00C13F67"/>
    <w:rsid w:val="00C1510E"/>
    <w:rsid w:val="00C159BD"/>
    <w:rsid w:val="00C22AF3"/>
    <w:rsid w:val="00C24C47"/>
    <w:rsid w:val="00C60EBD"/>
    <w:rsid w:val="00C71926"/>
    <w:rsid w:val="00C75E7D"/>
    <w:rsid w:val="00C8656B"/>
    <w:rsid w:val="00CA0B7B"/>
    <w:rsid w:val="00CB04D0"/>
    <w:rsid w:val="00CB297F"/>
    <w:rsid w:val="00CC1BDC"/>
    <w:rsid w:val="00CC2D0F"/>
    <w:rsid w:val="00CC5844"/>
    <w:rsid w:val="00CD2C69"/>
    <w:rsid w:val="00CD4D55"/>
    <w:rsid w:val="00CE0C16"/>
    <w:rsid w:val="00CE1060"/>
    <w:rsid w:val="00CE131B"/>
    <w:rsid w:val="00CE22B5"/>
    <w:rsid w:val="00CF398D"/>
    <w:rsid w:val="00D05F2E"/>
    <w:rsid w:val="00D17AB0"/>
    <w:rsid w:val="00D20E6D"/>
    <w:rsid w:val="00D22730"/>
    <w:rsid w:val="00D22C6B"/>
    <w:rsid w:val="00D278B9"/>
    <w:rsid w:val="00D27FFE"/>
    <w:rsid w:val="00D30EED"/>
    <w:rsid w:val="00D360F4"/>
    <w:rsid w:val="00D37B87"/>
    <w:rsid w:val="00D44696"/>
    <w:rsid w:val="00D45972"/>
    <w:rsid w:val="00D46BCE"/>
    <w:rsid w:val="00D509F5"/>
    <w:rsid w:val="00D67F0B"/>
    <w:rsid w:val="00D76FCF"/>
    <w:rsid w:val="00D816F4"/>
    <w:rsid w:val="00D81730"/>
    <w:rsid w:val="00D84647"/>
    <w:rsid w:val="00D85630"/>
    <w:rsid w:val="00D90908"/>
    <w:rsid w:val="00D97A8C"/>
    <w:rsid w:val="00DA6121"/>
    <w:rsid w:val="00DC238C"/>
    <w:rsid w:val="00DC6196"/>
    <w:rsid w:val="00DE4AAE"/>
    <w:rsid w:val="00DE5A13"/>
    <w:rsid w:val="00DE60D7"/>
    <w:rsid w:val="00DE704A"/>
    <w:rsid w:val="00DF78B5"/>
    <w:rsid w:val="00E038D2"/>
    <w:rsid w:val="00E12E0D"/>
    <w:rsid w:val="00E144CA"/>
    <w:rsid w:val="00E1737A"/>
    <w:rsid w:val="00E27BED"/>
    <w:rsid w:val="00E32D19"/>
    <w:rsid w:val="00E33471"/>
    <w:rsid w:val="00E37641"/>
    <w:rsid w:val="00E532F0"/>
    <w:rsid w:val="00E54A89"/>
    <w:rsid w:val="00E60292"/>
    <w:rsid w:val="00E71F25"/>
    <w:rsid w:val="00E74405"/>
    <w:rsid w:val="00E75F2D"/>
    <w:rsid w:val="00E777B3"/>
    <w:rsid w:val="00E777CE"/>
    <w:rsid w:val="00E961AC"/>
    <w:rsid w:val="00EA02AC"/>
    <w:rsid w:val="00EA035E"/>
    <w:rsid w:val="00EA1B36"/>
    <w:rsid w:val="00EB33BB"/>
    <w:rsid w:val="00EB4FCE"/>
    <w:rsid w:val="00EC5373"/>
    <w:rsid w:val="00ED1A24"/>
    <w:rsid w:val="00EE1CFA"/>
    <w:rsid w:val="00EE3088"/>
    <w:rsid w:val="00EE31D2"/>
    <w:rsid w:val="00EF0EBD"/>
    <w:rsid w:val="00EF25E9"/>
    <w:rsid w:val="00EF3902"/>
    <w:rsid w:val="00EF51D9"/>
    <w:rsid w:val="00F00A91"/>
    <w:rsid w:val="00F0794B"/>
    <w:rsid w:val="00F22390"/>
    <w:rsid w:val="00F25ACC"/>
    <w:rsid w:val="00F34145"/>
    <w:rsid w:val="00F43C84"/>
    <w:rsid w:val="00F524A2"/>
    <w:rsid w:val="00F54F5D"/>
    <w:rsid w:val="00F554D8"/>
    <w:rsid w:val="00F57645"/>
    <w:rsid w:val="00F57F8F"/>
    <w:rsid w:val="00F64E8F"/>
    <w:rsid w:val="00F71E4A"/>
    <w:rsid w:val="00F92850"/>
    <w:rsid w:val="00F92B5C"/>
    <w:rsid w:val="00F92BAC"/>
    <w:rsid w:val="00F94C4E"/>
    <w:rsid w:val="00F95DC4"/>
    <w:rsid w:val="00F96B66"/>
    <w:rsid w:val="00FA039D"/>
    <w:rsid w:val="00FD0AEA"/>
    <w:rsid w:val="00FE0D06"/>
    <w:rsid w:val="00FF1152"/>
    <w:rsid w:val="00FF4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A9F2BB-F8A5-46A6-A8F4-BBBA799FC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048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"/>
    <w:basedOn w:val="a"/>
    <w:rsid w:val="0005048F"/>
    <w:pPr>
      <w:spacing w:after="160" w:line="240" w:lineRule="exact"/>
      <w:jc w:val="both"/>
    </w:pPr>
    <w:rPr>
      <w:rFonts w:ascii="Verdana" w:eastAsia="Times New Roman" w:hAnsi="Verdana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0400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4003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3.xml"/><Relationship Id="rId5" Type="http://schemas.openxmlformats.org/officeDocument/2006/relationships/chart" Target="charts/chart2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2000" b="0" i="0" u="none" strike="noStrike" kern="1200" cap="none" spc="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j-ea"/>
                <a:cs typeface="Times New Roman" panose="02020603050405020304" pitchFamily="18" charset="0"/>
              </a:defRPr>
            </a:pPr>
            <a:r>
              <a:rPr lang="ru-RU" sz="1100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Рис. 1. Финансирование программ в 2015 году из городского бюджета, тыс. руб. </a:t>
            </a:r>
          </a:p>
        </c:rich>
      </c:tx>
      <c:layout>
        <c:manualLayout>
          <c:xMode val="edge"/>
          <c:yMode val="edge"/>
          <c:x val="0.13446909667194934"/>
          <c:y val="0.84720680725120234"/>
        </c:manualLayout>
      </c:layout>
      <c:overlay val="0"/>
      <c:spPr>
        <a:noFill/>
        <a:ln>
          <a:noFill/>
        </a:ln>
        <a:effectLst/>
      </c:spPr>
    </c:title>
    <c:autoTitleDeleted val="0"/>
    <c:plotArea>
      <c:layout>
        <c:manualLayout>
          <c:layoutTarget val="inner"/>
          <c:xMode val="edge"/>
          <c:yMode val="edge"/>
          <c:x val="0.20827158203162749"/>
          <c:y val="8.8309868591620377E-2"/>
          <c:w val="0.76267399564745153"/>
          <c:h val="0.67048307363355431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Лист1!$A$2</c:f>
              <c:strCache>
                <c:ptCount val="1"/>
                <c:pt idx="0">
                  <c:v>План</c:v>
                </c:pt>
              </c:strCache>
            </c:strRef>
          </c:tx>
          <c:spPr>
            <a:solidFill>
              <a:srgbClr val="99FF99"/>
            </a:solidFill>
            <a:ln>
              <a:solidFill>
                <a:schemeClr val="tx1"/>
              </a:solidFill>
            </a:ln>
            <a:effectLst/>
          </c:spPr>
          <c:invertIfNegative val="0"/>
          <c:dLbls>
            <c:spPr>
              <a:solidFill>
                <a:schemeClr val="bg1"/>
              </a:solidFill>
              <a:ln>
                <a:solidFill>
                  <a:schemeClr val="tx1"/>
                </a:solidFill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numRef>
              <c:f>Лист1!$B$1:$C$1</c:f>
              <c:numCache>
                <c:formatCode>General</c:formatCode>
                <c:ptCount val="2"/>
                <c:pt idx="0">
                  <c:v>2014</c:v>
                </c:pt>
                <c:pt idx="1">
                  <c:v>2015</c:v>
                </c:pt>
              </c:numCache>
            </c:numRef>
          </c:cat>
          <c:val>
            <c:numRef>
              <c:f>Лист1!$B$2:$C$2</c:f>
              <c:numCache>
                <c:formatCode>#,##0.0</c:formatCode>
                <c:ptCount val="2"/>
                <c:pt idx="0">
                  <c:v>1417548.7</c:v>
                </c:pt>
                <c:pt idx="1">
                  <c:v>1144461.7</c:v>
                </c:pt>
              </c:numCache>
            </c:numRef>
          </c:val>
        </c:ser>
        <c:ser>
          <c:idx val="1"/>
          <c:order val="1"/>
          <c:tx>
            <c:strRef>
              <c:f>Лист1!$A$3</c:f>
              <c:strCache>
                <c:ptCount val="1"/>
                <c:pt idx="0">
                  <c:v>Факт</c:v>
                </c:pt>
              </c:strCache>
            </c:strRef>
          </c:tx>
          <c:spPr>
            <a:solidFill>
              <a:srgbClr val="FFFF66"/>
            </a:solidFill>
            <a:ln>
              <a:solidFill>
                <a:schemeClr val="tx1"/>
              </a:solidFill>
            </a:ln>
            <a:effectLst/>
          </c:spPr>
          <c:invertIfNegative val="0"/>
          <c:dLbls>
            <c:spPr>
              <a:solidFill>
                <a:schemeClr val="bg1"/>
              </a:solidFill>
              <a:ln>
                <a:solidFill>
                  <a:schemeClr val="tx1"/>
                </a:solidFill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numRef>
              <c:f>Лист1!$B$1:$C$1</c:f>
              <c:numCache>
                <c:formatCode>General</c:formatCode>
                <c:ptCount val="2"/>
                <c:pt idx="0">
                  <c:v>2014</c:v>
                </c:pt>
                <c:pt idx="1">
                  <c:v>2015</c:v>
                </c:pt>
              </c:numCache>
            </c:numRef>
          </c:cat>
          <c:val>
            <c:numRef>
              <c:f>Лист1!$B$3:$C$3</c:f>
              <c:numCache>
                <c:formatCode>#,##0.0</c:formatCode>
                <c:ptCount val="2"/>
                <c:pt idx="0">
                  <c:v>1350919.2</c:v>
                </c:pt>
                <c:pt idx="1">
                  <c:v>1033302.8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18"/>
        <c:axId val="413253976"/>
        <c:axId val="413254368"/>
      </c:barChart>
      <c:catAx>
        <c:axId val="41325397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none" spc="0" normalizeH="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413254368"/>
        <c:crosses val="autoZero"/>
        <c:auto val="1"/>
        <c:lblAlgn val="ctr"/>
        <c:lblOffset val="100"/>
        <c:noMultiLvlLbl val="0"/>
      </c:catAx>
      <c:valAx>
        <c:axId val="41325436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900" b="0" i="0" u="none" strike="noStrike" kern="1200" cap="all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тыс.</a:t>
                </a:r>
                <a:r>
                  <a:rPr lang="ru-RU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 руб</a:t>
                </a:r>
                <a:r>
                  <a:rPr lang="ru-RU" baseline="0"/>
                  <a:t>.</a:t>
                </a:r>
                <a:endParaRPr lang="ru-RU"/>
              </a:p>
            </c:rich>
          </c:tx>
          <c:layout>
            <c:manualLayout>
              <c:xMode val="edge"/>
              <c:yMode val="edge"/>
              <c:x val="4.20341019065587E-2"/>
              <c:y val="0.34092099475356946"/>
            </c:manualLayout>
          </c:layout>
          <c:overlay val="0"/>
          <c:spPr>
            <a:noFill/>
            <a:ln>
              <a:noFill/>
            </a:ln>
            <a:effectLst/>
          </c:spPr>
        </c:title>
        <c:numFmt formatCode="#,##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41325397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t"/>
      <c:layout>
        <c:manualLayout>
          <c:xMode val="edge"/>
          <c:yMode val="edge"/>
          <c:x val="0.65803153471795406"/>
          <c:y val="0.10882367506503421"/>
          <c:w val="0.18705425997008113"/>
          <c:h val="6.2760537285780502E-2"/>
        </c:manualLayout>
      </c:layout>
      <c:overlay val="0"/>
      <c:spPr>
        <a:noFill/>
        <a:ln>
          <a:solidFill>
            <a:schemeClr val="tx1"/>
          </a:solidFill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3175" cap="flat" cmpd="sng" algn="ctr">
      <a:solidFill>
        <a:schemeClr val="tx1">
          <a:alpha val="60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cap="none" spc="2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100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Рис. 2. Исполнение бюджета по действующим программам за 2015 год в разрезе источников бюджета (млн. руб.) </a:t>
            </a:r>
          </a:p>
        </c:rich>
      </c:tx>
      <c:layout>
        <c:manualLayout>
          <c:xMode val="edge"/>
          <c:yMode val="edge"/>
          <c:x val="0.10728796095610005"/>
          <c:y val="0.85038106698756522"/>
        </c:manualLayout>
      </c:layout>
      <c:overlay val="0"/>
      <c:spPr>
        <a:noFill/>
        <a:ln>
          <a:noFill/>
        </a:ln>
        <a:effectLst/>
      </c:sp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5.4200542005420072E-2"/>
          <c:y val="0.17050308138795428"/>
          <c:w val="0.82384823848238531"/>
          <c:h val="0.6198229213639046"/>
        </c:manualLayout>
      </c:layout>
      <c:pie3DChart>
        <c:varyColors val="1"/>
        <c:ser>
          <c:idx val="0"/>
          <c:order val="0"/>
          <c:dPt>
            <c:idx val="0"/>
            <c:bubble3D val="0"/>
            <c:spPr>
              <a:solidFill>
                <a:srgbClr val="33CCFF"/>
              </a:solidFill>
              <a:ln>
                <a:noFill/>
              </a:ln>
              <a:effectLst/>
              <a:sp3d/>
            </c:spPr>
          </c:dPt>
          <c:dPt>
            <c:idx val="1"/>
            <c:bubble3D val="0"/>
            <c:spPr>
              <a:solidFill>
                <a:srgbClr val="CC99FF"/>
              </a:solidFill>
              <a:ln>
                <a:noFill/>
              </a:ln>
              <a:effectLst/>
              <a:sp3d/>
            </c:spPr>
          </c:dPt>
          <c:dPt>
            <c:idx val="2"/>
            <c:bubble3D val="0"/>
            <c:spPr>
              <a:solidFill>
                <a:srgbClr val="FFFF66"/>
              </a:solidFill>
              <a:ln>
                <a:solidFill>
                  <a:schemeClr val="tx1"/>
                </a:solidFill>
              </a:ln>
              <a:effectLst/>
              <a:sp3d>
                <a:contourClr>
                  <a:schemeClr val="tx1"/>
                </a:contourClr>
              </a:sp3d>
            </c:spPr>
          </c:dPt>
          <c:dPt>
            <c:idx val="3"/>
            <c:bubble3D val="0"/>
            <c:spPr>
              <a:solidFill>
                <a:srgbClr val="FF66CC"/>
              </a:solidFill>
              <a:ln>
                <a:noFill/>
              </a:ln>
              <a:effectLst/>
              <a:sp3d/>
            </c:spPr>
          </c:dPt>
          <c:dLbls>
            <c:dLbl>
              <c:idx val="0"/>
              <c:layout>
                <c:manualLayout>
                  <c:x val="-0.20869997957572387"/>
                  <c:y val="-4.3920762657971728E-2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0.12845863779222727"/>
                  <c:y val="-1.6019748632742662E-3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0.28544379945207587"/>
                  <c:y val="-0.18093094915998942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0.21411192214111921"/>
                  <c:y val="5.9123625515973534E-2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inEnd"/>
            <c:showLegendKey val="0"/>
            <c:showVal val="0"/>
            <c:showCatName val="1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tx1"/>
                  </a:solidFill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Лист1!$B$25:$B$28</c:f>
              <c:strCache>
                <c:ptCount val="4"/>
                <c:pt idx="0">
                  <c:v>Средства ФСР ЖКХ</c:v>
                </c:pt>
                <c:pt idx="1">
                  <c:v>Федеральный бюджет</c:v>
                </c:pt>
                <c:pt idx="2">
                  <c:v>Областной бюджет</c:v>
                </c:pt>
                <c:pt idx="3">
                  <c:v>Городской бюджет</c:v>
                </c:pt>
              </c:strCache>
            </c:strRef>
          </c:cat>
          <c:val>
            <c:numRef>
              <c:f>Лист1!$C$25:$C$28</c:f>
              <c:numCache>
                <c:formatCode>#,##0.00</c:formatCode>
                <c:ptCount val="4"/>
                <c:pt idx="0">
                  <c:v>10269.700000000001</c:v>
                </c:pt>
                <c:pt idx="1">
                  <c:v>44965.8</c:v>
                </c:pt>
                <c:pt idx="2">
                  <c:v>522299.5</c:v>
                </c:pt>
                <c:pt idx="3">
                  <c:v>455767.8</c:v>
                </c:pt>
              </c:numCache>
            </c:numRef>
          </c:val>
        </c:ser>
        <c:dLbls>
          <c:showLegendKey val="0"/>
          <c:showVal val="0"/>
          <c:showCatName val="1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plotVisOnly val="1"/>
    <c:dispBlanksAs val="zero"/>
    <c:showDLblsOverMax val="0"/>
  </c:chart>
  <c:spPr>
    <a:solidFill>
      <a:schemeClr val="bg1"/>
    </a:solidFill>
    <a:ln w="3175" cap="flat" cmpd="sng" algn="ctr">
      <a:solidFill>
        <a:schemeClr val="tx1">
          <a:alpha val="60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100" b="0" i="0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Рис. 3. Финансирование программ в 2015 году по основным направлениям</a:t>
            </a:r>
            <a:endParaRPr lang="ru-RU" sz="1100">
              <a:solidFill>
                <a:sysClr val="windowText" lastClr="000000"/>
              </a:solidFill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100" b="0" i="0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 (% к общей сумме финансирования программной части)</a:t>
            </a:r>
            <a:endParaRPr lang="ru-RU" sz="1100">
              <a:solidFill>
                <a:sysClr val="windowText" lastClr="000000"/>
              </a:solidFill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layout>
        <c:manualLayout>
          <c:xMode val="edge"/>
          <c:yMode val="edge"/>
          <c:x val="0.15214861729240375"/>
          <c:y val="0.80151358789129645"/>
        </c:manualLayout>
      </c:layout>
      <c:overlay val="0"/>
      <c:spPr>
        <a:noFill/>
        <a:ln>
          <a:noFill/>
        </a:ln>
        <a:effectLst/>
      </c:sp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0.171104357368173"/>
          <c:y val="0.1844792233788114"/>
          <c:w val="0.67194168663699694"/>
          <c:h val="0.58663150852273471"/>
        </c:manualLayout>
      </c:layout>
      <c:pie3DChart>
        <c:varyColors val="1"/>
        <c:ser>
          <c:idx val="0"/>
          <c:order val="0"/>
          <c:spPr>
            <a:ln>
              <a:noFill/>
            </a:ln>
          </c:spPr>
          <c:dPt>
            <c:idx val="0"/>
            <c:bubble3D val="0"/>
            <c:spPr>
              <a:solidFill>
                <a:srgbClr val="FFFF66"/>
              </a:solidFill>
              <a:ln w="25400">
                <a:noFill/>
              </a:ln>
              <a:effectLst/>
              <a:sp3d/>
            </c:spPr>
          </c:dPt>
          <c:dPt>
            <c:idx val="1"/>
            <c:bubble3D val="0"/>
            <c:spPr>
              <a:solidFill>
                <a:srgbClr val="FF66CC"/>
              </a:solidFill>
              <a:ln w="25400">
                <a:noFill/>
              </a:ln>
              <a:effectLst/>
              <a:sp3d/>
            </c:spPr>
          </c:dPt>
          <c:dPt>
            <c:idx val="2"/>
            <c:bubble3D val="0"/>
            <c:spPr>
              <a:solidFill>
                <a:srgbClr val="33CCFF"/>
              </a:solidFill>
              <a:ln w="25400">
                <a:noFill/>
              </a:ln>
              <a:effectLst/>
              <a:sp3d/>
            </c:spPr>
          </c:dPt>
          <c:dPt>
            <c:idx val="3"/>
            <c:bubble3D val="0"/>
            <c:spPr>
              <a:solidFill>
                <a:srgbClr val="CC99FF"/>
              </a:solidFill>
              <a:ln w="25400">
                <a:noFill/>
              </a:ln>
              <a:effectLst/>
              <a:sp3d/>
            </c:spPr>
          </c:dPt>
          <c:dPt>
            <c:idx val="4"/>
            <c:bubble3D val="0"/>
            <c:spPr>
              <a:solidFill>
                <a:srgbClr val="FF6699"/>
              </a:solidFill>
              <a:ln w="25400">
                <a:noFill/>
              </a:ln>
              <a:effectLst/>
              <a:sp3d/>
            </c:spPr>
          </c:dPt>
          <c:dPt>
            <c:idx val="5"/>
            <c:bubble3D val="0"/>
            <c:spPr>
              <a:solidFill>
                <a:srgbClr val="FFCC66"/>
              </a:solidFill>
              <a:ln w="25400">
                <a:noFill/>
              </a:ln>
              <a:effectLst/>
              <a:sp3d/>
            </c:spPr>
          </c:dPt>
          <c:dPt>
            <c:idx val="6"/>
            <c:bubble3D val="0"/>
            <c:spPr>
              <a:solidFill>
                <a:srgbClr val="99FF99"/>
              </a:solidFill>
              <a:ln w="25400">
                <a:noFill/>
              </a:ln>
              <a:effectLst/>
              <a:sp3d/>
            </c:spPr>
          </c:dPt>
          <c:dLbls>
            <c:dLbl>
              <c:idx val="0"/>
              <c:layout>
                <c:manualLayout>
                  <c:x val="-0.15337441515462749"/>
                  <c:y val="-5.1599316339327551E-2"/>
                </c:manualLayout>
              </c:layout>
              <c:spPr>
                <a:solidFill>
                  <a:sysClr val="window" lastClr="FFFFFF"/>
                </a:solidFill>
                <a:ln w="9525" cap="flat" cmpd="sng" algn="ctr">
                  <a:noFill/>
                  <a:prstDash val="solid"/>
                  <a:round/>
                  <a:headEnd type="none" w="med" len="med"/>
                  <a:tailEnd type="none" w="med" len="med"/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>
                        <a:gd name="adj1" fmla="val -35280"/>
                        <a:gd name="adj2" fmla="val 27027"/>
                      </a:avLst>
                    </a:prstGeom>
                  </c15:spPr>
                  <c15:layout>
                    <c:manualLayout>
                      <c:w val="0.23522918330860818"/>
                      <c:h val="0.11822291563399777"/>
                    </c:manualLayout>
                  </c15:layout>
                </c:ext>
              </c:extLst>
            </c:dLbl>
            <c:dLbl>
              <c:idx val="1"/>
              <c:layout>
                <c:manualLayout>
                  <c:x val="9.0610141123663897E-3"/>
                  <c:y val="-8.2559339525283798E-2"/>
                </c:manualLayout>
              </c:layout>
              <c:spPr>
                <a:solidFill>
                  <a:sysClr val="window" lastClr="FFFFFF"/>
                </a:solidFill>
                <a:ln w="9525" cap="flat" cmpd="sng" algn="ctr">
                  <a:noFill/>
                  <a:prstDash val="solid"/>
                  <a:round/>
                  <a:headEnd type="none" w="med" len="med"/>
                  <a:tailEnd type="none" w="med" len="med"/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>
                        <a:gd name="adj1" fmla="val -35613"/>
                        <a:gd name="adj2" fmla="val 11112"/>
                      </a:avLst>
                    </a:prstGeom>
                  </c15:spPr>
                </c:ext>
              </c:extLst>
            </c:dLbl>
            <c:dLbl>
              <c:idx val="2"/>
              <c:layout>
                <c:manualLayout>
                  <c:x val="5.3073338658754611E-2"/>
                  <c:y val="-2.4079807361541108E-2"/>
                </c:manualLayout>
              </c:layout>
              <c:spPr>
                <a:solidFill>
                  <a:sysClr val="window" lastClr="FFFFFF"/>
                </a:solidFill>
                <a:ln w="9525" cap="flat" cmpd="sng" algn="ctr">
                  <a:noFill/>
                  <a:prstDash val="solid"/>
                  <a:round/>
                  <a:headEnd type="none" w="med" len="med"/>
                  <a:tailEnd type="none" w="med" len="med"/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>
                        <a:gd name="adj1" fmla="val -29329"/>
                        <a:gd name="adj2" fmla="val 14220"/>
                      </a:avLst>
                    </a:prstGeom>
                  </c15:spPr>
                  <c15:layout>
                    <c:manualLayout>
                      <c:w val="0.16015843128304613"/>
                      <c:h val="0.18167659383134382"/>
                    </c:manualLayout>
                  </c15:layout>
                </c:ext>
              </c:extLst>
            </c:dLbl>
            <c:dLbl>
              <c:idx val="3"/>
              <c:layout>
                <c:manualLayout>
                  <c:x val="-0.14132374757503147"/>
                  <c:y val="-0.29159129876567286"/>
                </c:manualLayout>
              </c:layout>
              <c:spPr>
                <a:solidFill>
                  <a:sysClr val="window" lastClr="FFFFFF"/>
                </a:solidFill>
                <a:ln w="9525" cap="flat" cmpd="sng" algn="ctr">
                  <a:noFill/>
                  <a:prstDash val="solid"/>
                  <a:round/>
                  <a:headEnd type="none" w="med" len="med"/>
                  <a:tailEnd type="none" w="med" len="med"/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>
                        <a:gd name="adj1" fmla="val 21445"/>
                        <a:gd name="adj2" fmla="val 50295"/>
                      </a:avLst>
                    </a:prstGeom>
                  </c15:spPr>
                </c:ext>
              </c:extLst>
            </c:dLbl>
            <c:dLbl>
              <c:idx val="4"/>
              <c:layout>
                <c:manualLayout>
                  <c:x val="-1.4907375708471223E-2"/>
                  <c:y val="-4.1279669762641899E-2"/>
                </c:manualLayout>
              </c:layout>
              <c:spPr>
                <a:solidFill>
                  <a:sysClr val="window" lastClr="FFFFFF"/>
                </a:solidFill>
                <a:ln w="9525" cap="flat" cmpd="sng" algn="ctr">
                  <a:noFill/>
                  <a:prstDash val="solid"/>
                  <a:round/>
                  <a:headEnd type="none" w="med" len="med"/>
                  <a:tailEnd type="none" w="med" len="med"/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>
                        <a:gd name="adj1" fmla="val 19164"/>
                        <a:gd name="adj2" fmla="val -22312"/>
                      </a:avLst>
                    </a:prstGeom>
                  </c15:spPr>
                </c:ext>
              </c:extLst>
            </c:dLbl>
            <c:dLbl>
              <c:idx val="5"/>
              <c:layout>
                <c:manualLayout>
                  <c:x val="0.16268115942028985"/>
                  <c:y val="7.3844832863384335E-2"/>
                </c:manualLayout>
              </c:layout>
              <c:spPr>
                <a:solidFill>
                  <a:sysClr val="window" lastClr="FFFFFF"/>
                </a:solidFill>
                <a:ln w="9525" cap="flat" cmpd="sng" algn="ctr">
                  <a:noFill/>
                  <a:prstDash val="solid"/>
                  <a:round/>
                  <a:headEnd type="none" w="med" len="med"/>
                  <a:tailEnd type="none" w="med" len="med"/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>
                        <a:gd name="adj1" fmla="val 32705"/>
                        <a:gd name="adj2" fmla="val 5707"/>
                      </a:avLst>
                    </a:prstGeom>
                  </c15:spPr>
                </c:ext>
              </c:extLst>
            </c:dLbl>
            <c:dLbl>
              <c:idx val="6"/>
              <c:layout>
                <c:manualLayout>
                  <c:x val="-0.27605557457491725"/>
                  <c:y val="3.6499462335009968E-2"/>
                </c:manualLayout>
              </c:layout>
              <c:spPr>
                <a:solidFill>
                  <a:sysClr val="window" lastClr="FFFFFF"/>
                </a:solidFill>
                <a:ln w="9525" cap="flat" cmpd="sng" algn="ctr">
                  <a:noFill/>
                  <a:prstDash val="solid"/>
                  <a:round/>
                  <a:headEnd type="none" w="med" len="med"/>
                  <a:tailEnd type="none" w="med" len="med"/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>
                        <a:gd name="adj1" fmla="val 20244"/>
                        <a:gd name="adj2" fmla="val 4988"/>
                      </a:avLst>
                    </a:prstGeom>
                  </c15:spPr>
                </c:ext>
              </c:extLst>
            </c:dLbl>
            <c:spPr>
              <a:solidFill>
                <a:sysClr val="window" lastClr="FFFFFF"/>
              </a:solidFill>
              <a:ln>
                <a:noFill/>
              </a:ln>
              <a:effectLst/>
            </c:spPr>
            <c:txPr>
              <a:bodyPr rot="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outEnd"/>
            <c:showLegendKey val="0"/>
            <c:showVal val="0"/>
            <c:showCatName val="1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/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RectCallout">
                    <a:avLst/>
                  </a:prstGeom>
                </c15:spPr>
              </c:ext>
            </c:extLst>
          </c:dLbls>
          <c:cat>
            <c:strRef>
              <c:f>Лист1!$B$45:$B$51</c:f>
              <c:strCache>
                <c:ptCount val="7"/>
                <c:pt idx="0">
                  <c:v>Общегосударственные вопросы</c:v>
                </c:pt>
                <c:pt idx="1">
                  <c:v>Национальная экономика</c:v>
                </c:pt>
                <c:pt idx="2">
                  <c:v>Жилищно-коммунальное хозяйство</c:v>
                </c:pt>
                <c:pt idx="3">
                  <c:v>Образование</c:v>
                </c:pt>
                <c:pt idx="4">
                  <c:v>Культура и кинематография</c:v>
                </c:pt>
                <c:pt idx="5">
                  <c:v>Социальная политика</c:v>
                </c:pt>
                <c:pt idx="6">
                  <c:v>Физическая культура и спорт</c:v>
                </c:pt>
              </c:strCache>
            </c:strRef>
          </c:cat>
          <c:val>
            <c:numRef>
              <c:f>Лист1!$C$45:$C$51</c:f>
              <c:numCache>
                <c:formatCode>#,##0.00</c:formatCode>
                <c:ptCount val="7"/>
                <c:pt idx="0">
                  <c:v>84032.2</c:v>
                </c:pt>
                <c:pt idx="1">
                  <c:v>41028</c:v>
                </c:pt>
                <c:pt idx="2">
                  <c:v>69687.899999999994</c:v>
                </c:pt>
                <c:pt idx="3">
                  <c:v>548368.80000000005</c:v>
                </c:pt>
                <c:pt idx="4">
                  <c:v>22874.799999999999</c:v>
                </c:pt>
                <c:pt idx="5">
                  <c:v>241335.9</c:v>
                </c:pt>
                <c:pt idx="6">
                  <c:v>25975.3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plotVisOnly val="1"/>
    <c:dispBlanksAs val="zero"/>
    <c:showDLblsOverMax val="0"/>
  </c:chart>
  <c:spPr>
    <a:solidFill>
      <a:schemeClr val="bg1"/>
    </a:solidFill>
    <a:ln w="3175" cap="flat" cmpd="sng" algn="ctr">
      <a:solidFill>
        <a:schemeClr val="tx1">
          <a:alpha val="60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0.02086</cdr:x>
      <cdr:y>0.4273</cdr:y>
    </cdr:from>
    <cdr:to>
      <cdr:x>0.1997</cdr:x>
      <cdr:y>0.69367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106680" y="1466850"/>
          <a:ext cx="914400" cy="9144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endParaRPr lang="ru-RU" sz="1100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566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komp</cp:lastModifiedBy>
  <cp:revision>2</cp:revision>
  <dcterms:created xsi:type="dcterms:W3CDTF">2016-05-10T07:45:00Z</dcterms:created>
  <dcterms:modified xsi:type="dcterms:W3CDTF">2016-05-10T07:45:00Z</dcterms:modified>
</cp:coreProperties>
</file>